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C375A">
      <w:pPr>
        <w:spacing w:line="276" w:lineRule="auto"/>
        <w:jc w:val="center"/>
        <w:rPr>
          <w:rFonts w:ascii="仿宋" w:hAnsi="仿宋" w:eastAsia="仿宋" w:cs="Times New Roman"/>
          <w:b/>
          <w:color w:val="000000"/>
          <w:w w:val="80"/>
          <w:sz w:val="72"/>
          <w:szCs w:val="72"/>
        </w:rPr>
      </w:pPr>
      <w:bookmarkStart w:id="0" w:name="_Hlk24613880"/>
    </w:p>
    <w:p w14:paraId="7219957A">
      <w:pPr>
        <w:spacing w:line="276" w:lineRule="auto"/>
        <w:jc w:val="center"/>
        <w:rPr>
          <w:rFonts w:ascii="仿宋" w:hAnsi="仿宋" w:eastAsia="仿宋" w:cs="Times New Roman"/>
          <w:b/>
          <w:color w:val="000000"/>
          <w:w w:val="80"/>
          <w:sz w:val="72"/>
          <w:szCs w:val="72"/>
        </w:rPr>
      </w:pPr>
      <w:r>
        <w:drawing>
          <wp:inline distT="0" distB="0" distL="0" distR="0">
            <wp:extent cx="1285875" cy="11239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285875" cy="1123950"/>
                    </a:xfrm>
                    <a:prstGeom prst="rect">
                      <a:avLst/>
                    </a:prstGeom>
                  </pic:spPr>
                </pic:pic>
              </a:graphicData>
            </a:graphic>
          </wp:inline>
        </w:drawing>
      </w:r>
    </w:p>
    <w:p w14:paraId="11874B7E">
      <w:pPr>
        <w:spacing w:line="276" w:lineRule="auto"/>
        <w:jc w:val="center"/>
        <w:rPr>
          <w:rFonts w:ascii="仿宋" w:hAnsi="仿宋" w:eastAsia="仿宋" w:cs="Times New Roman"/>
          <w:b/>
          <w:color w:val="000000"/>
          <w:w w:val="80"/>
          <w:sz w:val="72"/>
          <w:szCs w:val="72"/>
        </w:rPr>
      </w:pPr>
      <w:r>
        <w:rPr>
          <w:rFonts w:hint="eastAsia" w:ascii="仿宋" w:hAnsi="仿宋" w:eastAsia="仿宋" w:cs="Times New Roman"/>
          <w:b/>
          <w:color w:val="000000"/>
          <w:w w:val="80"/>
          <w:sz w:val="72"/>
          <w:szCs w:val="72"/>
        </w:rPr>
        <w:t>浙江浦江圣力工贸有限公司</w:t>
      </w:r>
    </w:p>
    <w:p w14:paraId="742DA24E">
      <w:pPr>
        <w:spacing w:line="276" w:lineRule="auto"/>
        <w:jc w:val="center"/>
        <w:rPr>
          <w:rFonts w:ascii="宋体" w:hAnsi="宋体" w:eastAsia="宋体" w:cs="宋体"/>
          <w:b/>
          <w:sz w:val="52"/>
          <w:szCs w:val="52"/>
        </w:rPr>
      </w:pPr>
      <w:r>
        <w:rPr>
          <w:rFonts w:hint="eastAsia" w:ascii="宋体" w:hAnsi="宋体" w:eastAsia="宋体" w:cs="宋体"/>
          <w:b/>
          <w:sz w:val="52"/>
          <w:szCs w:val="52"/>
        </w:rPr>
        <w:t xml:space="preserve"> </w:t>
      </w:r>
    </w:p>
    <w:p w14:paraId="7492FB92">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质</w:t>
      </w:r>
    </w:p>
    <w:p w14:paraId="07B22D43">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量</w:t>
      </w:r>
    </w:p>
    <w:p w14:paraId="4FF78F4F">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诚</w:t>
      </w:r>
    </w:p>
    <w:p w14:paraId="02377D74">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信</w:t>
      </w:r>
    </w:p>
    <w:p w14:paraId="661BF8EF">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报</w:t>
      </w:r>
    </w:p>
    <w:p w14:paraId="4F43908F">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告</w:t>
      </w:r>
    </w:p>
    <w:p w14:paraId="70168AB0">
      <w:pPr>
        <w:spacing w:line="276" w:lineRule="auto"/>
        <w:ind w:firstLine="3900" w:firstLineChars="750"/>
        <w:rPr>
          <w:rFonts w:ascii="宋体" w:hAnsi="宋体" w:eastAsia="宋体" w:cs="宋体"/>
          <w:sz w:val="52"/>
          <w:szCs w:val="52"/>
        </w:rPr>
      </w:pPr>
    </w:p>
    <w:p w14:paraId="799FA87F">
      <w:pPr>
        <w:spacing w:line="276" w:lineRule="auto"/>
        <w:ind w:firstLine="3900" w:firstLineChars="750"/>
        <w:rPr>
          <w:rFonts w:ascii="宋体" w:hAnsi="宋体" w:eastAsia="宋体" w:cs="宋体"/>
          <w:sz w:val="52"/>
          <w:szCs w:val="52"/>
        </w:rPr>
      </w:pPr>
    </w:p>
    <w:p w14:paraId="16A4C08A">
      <w:pPr>
        <w:spacing w:before="40" w:after="40" w:line="276" w:lineRule="auto"/>
        <w:jc w:val="center"/>
        <w:rPr>
          <w:rFonts w:ascii="宋体" w:hAnsi="宋体" w:eastAsia="宋体" w:cs="宋体"/>
          <w:sz w:val="36"/>
          <w:szCs w:val="36"/>
        </w:rPr>
      </w:pPr>
      <w:r>
        <w:rPr>
          <w:rFonts w:hint="eastAsia" w:ascii="宋体" w:hAnsi="宋体" w:eastAsia="宋体" w:cs="宋体"/>
          <w:sz w:val="36"/>
          <w:szCs w:val="36"/>
        </w:rPr>
        <w:t>报告日期：</w:t>
      </w:r>
      <w:r>
        <w:rPr>
          <w:rFonts w:ascii="宋体" w:hAnsi="宋体" w:eastAsia="宋体" w:cs="宋体"/>
          <w:sz w:val="36"/>
          <w:szCs w:val="36"/>
        </w:rPr>
        <w:t>202</w:t>
      </w:r>
      <w:r>
        <w:rPr>
          <w:rFonts w:hint="eastAsia" w:ascii="宋体" w:hAnsi="宋体" w:eastAsia="宋体" w:cs="宋体"/>
          <w:sz w:val="36"/>
          <w:szCs w:val="36"/>
          <w:lang w:val="en-US" w:eastAsia="zh-CN"/>
        </w:rPr>
        <w:t>6</w:t>
      </w:r>
      <w:r>
        <w:rPr>
          <w:rFonts w:hint="eastAsia" w:ascii="宋体" w:hAnsi="宋体" w:eastAsia="宋体" w:cs="宋体"/>
          <w:sz w:val="36"/>
          <w:szCs w:val="36"/>
        </w:rPr>
        <w:t>年</w:t>
      </w:r>
      <w:r>
        <w:rPr>
          <w:rFonts w:hint="eastAsia" w:ascii="宋体" w:hAnsi="宋体" w:eastAsia="宋体" w:cs="宋体"/>
          <w:sz w:val="36"/>
          <w:szCs w:val="36"/>
          <w:lang w:val="en-US" w:eastAsia="zh-CN"/>
        </w:rPr>
        <w:t>5</w:t>
      </w:r>
      <w:r>
        <w:rPr>
          <w:rFonts w:hint="eastAsia" w:ascii="宋体" w:hAnsi="宋体" w:eastAsia="宋体" w:cs="宋体"/>
          <w:sz w:val="36"/>
          <w:szCs w:val="36"/>
        </w:rPr>
        <w:t>月</w:t>
      </w:r>
    </w:p>
    <w:bookmarkEnd w:id="0"/>
    <w:p w14:paraId="12B577E7">
      <w:pPr>
        <w:spacing w:before="40" w:after="40" w:line="276" w:lineRule="auto"/>
        <w:jc w:val="center"/>
        <w:rPr>
          <w:rFonts w:ascii="宋体" w:hAnsi="宋体" w:eastAsia="宋体" w:cs="宋体"/>
          <w:sz w:val="36"/>
          <w:szCs w:val="36"/>
        </w:rPr>
      </w:pPr>
    </w:p>
    <w:p w14:paraId="4E513BF5">
      <w:pPr>
        <w:spacing w:before="40" w:after="40" w:line="276" w:lineRule="auto"/>
        <w:jc w:val="center"/>
        <w:rPr>
          <w:rFonts w:ascii="宋体" w:hAnsi="宋体" w:eastAsia="宋体" w:cs="宋体"/>
          <w:sz w:val="36"/>
          <w:szCs w:val="36"/>
        </w:rPr>
      </w:pPr>
    </w:p>
    <w:p w14:paraId="4F5A1A2B">
      <w:pPr>
        <w:spacing w:before="40" w:after="40" w:line="276" w:lineRule="auto"/>
        <w:jc w:val="center"/>
        <w:rPr>
          <w:rFonts w:ascii="宋体" w:hAnsi="宋体" w:eastAsia="宋体" w:cs="宋体"/>
          <w:sz w:val="36"/>
          <w:szCs w:val="36"/>
        </w:rPr>
      </w:pPr>
    </w:p>
    <w:sdt>
      <w:sdtPr>
        <w:rPr>
          <w:rFonts w:ascii="宋体" w:hAnsi="宋体" w:eastAsia="宋体"/>
          <w:b/>
          <w:bCs/>
          <w:sz w:val="36"/>
          <w:szCs w:val="36"/>
        </w:rPr>
        <w:id w:val="147479737"/>
        <w:docPartObj>
          <w:docPartGallery w:val="Table of Contents"/>
          <w:docPartUnique/>
        </w:docPartObj>
      </w:sdtPr>
      <w:sdtEndPr>
        <w:rPr>
          <w:rFonts w:ascii="宋体" w:hAnsi="宋体" w:eastAsia="宋体" w:cs="宋体"/>
          <w:b/>
          <w:bCs/>
          <w:sz w:val="21"/>
          <w:szCs w:val="36"/>
        </w:rPr>
      </w:sdtEndPr>
      <w:sdtContent>
        <w:p w14:paraId="7B9ABDCB">
          <w:pPr>
            <w:jc w:val="center"/>
            <w:rPr>
              <w:b/>
              <w:bCs/>
              <w:sz w:val="36"/>
              <w:szCs w:val="36"/>
            </w:rPr>
          </w:pPr>
          <w:r>
            <w:rPr>
              <w:rFonts w:ascii="宋体" w:hAnsi="宋体" w:eastAsia="宋体"/>
              <w:b/>
              <w:bCs/>
              <w:sz w:val="36"/>
              <w:szCs w:val="36"/>
            </w:rPr>
            <w:t>目录</w:t>
          </w:r>
        </w:p>
        <w:p w14:paraId="6D30B2F0">
          <w:pPr>
            <w:pStyle w:val="29"/>
            <w:tabs>
              <w:tab w:val="right" w:leader="dot" w:pos="8306"/>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TOC \o "1-2" \h \u </w:instrText>
          </w:r>
          <w:r>
            <w:rPr>
              <w:rFonts w:ascii="宋体" w:hAnsi="宋体" w:eastAsia="宋体" w:cs="宋体"/>
              <w:sz w:val="24"/>
              <w:szCs w:val="24"/>
            </w:rPr>
            <w:fldChar w:fldCharType="separate"/>
          </w:r>
          <w:r>
            <w:fldChar w:fldCharType="begin"/>
          </w:r>
          <w:r>
            <w:instrText xml:space="preserve"> HYPERLINK \l "_Toc16600" </w:instrText>
          </w:r>
          <w:r>
            <w:fldChar w:fldCharType="separate"/>
          </w:r>
          <w:r>
            <w:rPr>
              <w:rFonts w:hint="eastAsia" w:cs="Times New Roman" w:asciiTheme="minorEastAsia" w:hAnsiTheme="minorEastAsia"/>
              <w:kern w:val="0"/>
              <w:sz w:val="24"/>
              <w:szCs w:val="24"/>
            </w:rPr>
            <w:t>一、前  言</w:t>
          </w:r>
          <w:r>
            <w:rPr>
              <w:sz w:val="24"/>
              <w:szCs w:val="24"/>
            </w:rPr>
            <w:tab/>
          </w:r>
          <w:r>
            <w:rPr>
              <w:sz w:val="24"/>
              <w:szCs w:val="24"/>
            </w:rPr>
            <w:fldChar w:fldCharType="begin"/>
          </w:r>
          <w:r>
            <w:rPr>
              <w:sz w:val="24"/>
              <w:szCs w:val="24"/>
            </w:rPr>
            <w:instrText xml:space="preserve"> PAGEREF _Toc16600 </w:instrText>
          </w:r>
          <w:r>
            <w:rPr>
              <w:sz w:val="24"/>
              <w:szCs w:val="24"/>
            </w:rPr>
            <w:fldChar w:fldCharType="separate"/>
          </w:r>
          <w:r>
            <w:rPr>
              <w:sz w:val="24"/>
              <w:szCs w:val="24"/>
            </w:rPr>
            <w:t>3</w:t>
          </w:r>
          <w:r>
            <w:rPr>
              <w:sz w:val="24"/>
              <w:szCs w:val="24"/>
            </w:rPr>
            <w:fldChar w:fldCharType="end"/>
          </w:r>
          <w:r>
            <w:rPr>
              <w:sz w:val="24"/>
              <w:szCs w:val="24"/>
            </w:rPr>
            <w:fldChar w:fldCharType="end"/>
          </w:r>
        </w:p>
        <w:p w14:paraId="51C34848">
          <w:pPr>
            <w:pStyle w:val="32"/>
            <w:tabs>
              <w:tab w:val="right" w:leader="dot" w:pos="8306"/>
            </w:tabs>
            <w:spacing w:line="360" w:lineRule="auto"/>
            <w:rPr>
              <w:sz w:val="24"/>
              <w:szCs w:val="24"/>
            </w:rPr>
          </w:pPr>
          <w:r>
            <w:fldChar w:fldCharType="begin"/>
          </w:r>
          <w:r>
            <w:instrText xml:space="preserve"> HYPERLINK \l "_Toc18094" </w:instrText>
          </w:r>
          <w:r>
            <w:fldChar w:fldCharType="separate"/>
          </w:r>
          <w:r>
            <w:rPr>
              <w:rFonts w:hint="eastAsia" w:cs="Times New Roman" w:asciiTheme="minorEastAsia" w:hAnsiTheme="minorEastAsia"/>
              <w:kern w:val="0"/>
              <w:sz w:val="24"/>
              <w:szCs w:val="24"/>
            </w:rPr>
            <w:t>（一）编制说明</w:t>
          </w:r>
          <w:r>
            <w:rPr>
              <w:sz w:val="24"/>
              <w:szCs w:val="24"/>
            </w:rPr>
            <w:tab/>
          </w:r>
          <w:r>
            <w:rPr>
              <w:sz w:val="24"/>
              <w:szCs w:val="24"/>
            </w:rPr>
            <w:fldChar w:fldCharType="begin"/>
          </w:r>
          <w:r>
            <w:rPr>
              <w:sz w:val="24"/>
              <w:szCs w:val="24"/>
            </w:rPr>
            <w:instrText xml:space="preserve"> PAGEREF _Toc18094 </w:instrText>
          </w:r>
          <w:r>
            <w:rPr>
              <w:sz w:val="24"/>
              <w:szCs w:val="24"/>
            </w:rPr>
            <w:fldChar w:fldCharType="separate"/>
          </w:r>
          <w:r>
            <w:rPr>
              <w:sz w:val="24"/>
              <w:szCs w:val="24"/>
            </w:rPr>
            <w:t>3</w:t>
          </w:r>
          <w:r>
            <w:rPr>
              <w:sz w:val="24"/>
              <w:szCs w:val="24"/>
            </w:rPr>
            <w:fldChar w:fldCharType="end"/>
          </w:r>
          <w:r>
            <w:rPr>
              <w:sz w:val="24"/>
              <w:szCs w:val="24"/>
            </w:rPr>
            <w:fldChar w:fldCharType="end"/>
          </w:r>
        </w:p>
        <w:p w14:paraId="62593206">
          <w:pPr>
            <w:pStyle w:val="32"/>
            <w:tabs>
              <w:tab w:val="right" w:leader="dot" w:pos="8306"/>
            </w:tabs>
            <w:spacing w:line="360" w:lineRule="auto"/>
            <w:rPr>
              <w:sz w:val="24"/>
              <w:szCs w:val="24"/>
            </w:rPr>
          </w:pPr>
          <w:r>
            <w:fldChar w:fldCharType="begin"/>
          </w:r>
          <w:r>
            <w:instrText xml:space="preserve"> HYPERLINK \l "_Toc13821" </w:instrText>
          </w:r>
          <w:r>
            <w:fldChar w:fldCharType="separate"/>
          </w:r>
          <w:r>
            <w:rPr>
              <w:rFonts w:hint="eastAsia" w:cs="Times New Roman" w:asciiTheme="minorEastAsia" w:hAnsiTheme="minorEastAsia"/>
              <w:kern w:val="0"/>
              <w:sz w:val="24"/>
              <w:szCs w:val="24"/>
            </w:rPr>
            <w:t>（二）总经理致辞</w:t>
          </w:r>
          <w:r>
            <w:rPr>
              <w:sz w:val="24"/>
              <w:szCs w:val="24"/>
            </w:rPr>
            <w:tab/>
          </w:r>
          <w:r>
            <w:rPr>
              <w:sz w:val="24"/>
              <w:szCs w:val="24"/>
            </w:rPr>
            <w:fldChar w:fldCharType="begin"/>
          </w:r>
          <w:r>
            <w:rPr>
              <w:sz w:val="24"/>
              <w:szCs w:val="24"/>
            </w:rPr>
            <w:instrText xml:space="preserve"> PAGEREF _Toc13821 </w:instrText>
          </w:r>
          <w:r>
            <w:rPr>
              <w:sz w:val="24"/>
              <w:szCs w:val="24"/>
            </w:rPr>
            <w:fldChar w:fldCharType="separate"/>
          </w:r>
          <w:r>
            <w:rPr>
              <w:sz w:val="24"/>
              <w:szCs w:val="24"/>
            </w:rPr>
            <w:t>3</w:t>
          </w:r>
          <w:r>
            <w:rPr>
              <w:sz w:val="24"/>
              <w:szCs w:val="24"/>
            </w:rPr>
            <w:fldChar w:fldCharType="end"/>
          </w:r>
          <w:r>
            <w:rPr>
              <w:sz w:val="24"/>
              <w:szCs w:val="24"/>
            </w:rPr>
            <w:fldChar w:fldCharType="end"/>
          </w:r>
        </w:p>
        <w:p w14:paraId="09C16FA7">
          <w:pPr>
            <w:pStyle w:val="32"/>
            <w:tabs>
              <w:tab w:val="right" w:leader="dot" w:pos="8306"/>
            </w:tabs>
            <w:spacing w:line="360" w:lineRule="auto"/>
            <w:rPr>
              <w:sz w:val="24"/>
              <w:szCs w:val="24"/>
            </w:rPr>
          </w:pPr>
          <w:r>
            <w:fldChar w:fldCharType="begin"/>
          </w:r>
          <w:r>
            <w:instrText xml:space="preserve"> HYPERLINK \l "_Toc13647" </w:instrText>
          </w:r>
          <w:r>
            <w:fldChar w:fldCharType="separate"/>
          </w:r>
          <w:r>
            <w:rPr>
              <w:rFonts w:hint="eastAsia" w:cs="Times New Roman" w:asciiTheme="minorEastAsia" w:hAnsiTheme="minorEastAsia"/>
              <w:kern w:val="0"/>
              <w:sz w:val="24"/>
              <w:szCs w:val="24"/>
            </w:rPr>
            <w:t>（三）公司简介</w:t>
          </w:r>
          <w:r>
            <w:rPr>
              <w:sz w:val="24"/>
              <w:szCs w:val="24"/>
            </w:rPr>
            <w:tab/>
          </w:r>
          <w:r>
            <w:rPr>
              <w:sz w:val="24"/>
              <w:szCs w:val="24"/>
            </w:rPr>
            <w:fldChar w:fldCharType="begin"/>
          </w:r>
          <w:r>
            <w:rPr>
              <w:sz w:val="24"/>
              <w:szCs w:val="24"/>
            </w:rPr>
            <w:instrText xml:space="preserve"> PAGEREF _Toc13647 </w:instrText>
          </w:r>
          <w:r>
            <w:rPr>
              <w:sz w:val="24"/>
              <w:szCs w:val="24"/>
            </w:rPr>
            <w:fldChar w:fldCharType="separate"/>
          </w:r>
          <w:r>
            <w:rPr>
              <w:sz w:val="24"/>
              <w:szCs w:val="24"/>
            </w:rPr>
            <w:t>4</w:t>
          </w:r>
          <w:r>
            <w:rPr>
              <w:sz w:val="24"/>
              <w:szCs w:val="24"/>
            </w:rPr>
            <w:fldChar w:fldCharType="end"/>
          </w:r>
          <w:r>
            <w:rPr>
              <w:sz w:val="24"/>
              <w:szCs w:val="24"/>
            </w:rPr>
            <w:fldChar w:fldCharType="end"/>
          </w:r>
        </w:p>
        <w:p w14:paraId="09BB12D5">
          <w:pPr>
            <w:pStyle w:val="29"/>
            <w:tabs>
              <w:tab w:val="right" w:leader="dot" w:pos="8306"/>
            </w:tabs>
            <w:spacing w:line="360" w:lineRule="auto"/>
            <w:rPr>
              <w:sz w:val="24"/>
              <w:szCs w:val="24"/>
            </w:rPr>
          </w:pPr>
          <w:r>
            <w:fldChar w:fldCharType="begin"/>
          </w:r>
          <w:r>
            <w:instrText xml:space="preserve"> HYPERLINK \l "_Toc8329" </w:instrText>
          </w:r>
          <w:r>
            <w:fldChar w:fldCharType="separate"/>
          </w:r>
          <w:r>
            <w:rPr>
              <w:rFonts w:hint="eastAsia" w:cs="Times New Roman" w:asciiTheme="minorEastAsia" w:hAnsiTheme="minorEastAsia"/>
              <w:kern w:val="0"/>
              <w:sz w:val="24"/>
              <w:szCs w:val="24"/>
            </w:rPr>
            <w:t>二、企业质量管理</w:t>
          </w:r>
          <w:r>
            <w:rPr>
              <w:sz w:val="24"/>
              <w:szCs w:val="24"/>
            </w:rPr>
            <w:tab/>
          </w:r>
          <w:r>
            <w:rPr>
              <w:sz w:val="24"/>
              <w:szCs w:val="24"/>
            </w:rPr>
            <w:fldChar w:fldCharType="begin"/>
          </w:r>
          <w:r>
            <w:rPr>
              <w:sz w:val="24"/>
              <w:szCs w:val="24"/>
            </w:rPr>
            <w:instrText xml:space="preserve"> PAGEREF _Toc8329 </w:instrText>
          </w:r>
          <w:r>
            <w:rPr>
              <w:sz w:val="24"/>
              <w:szCs w:val="24"/>
            </w:rPr>
            <w:fldChar w:fldCharType="separate"/>
          </w:r>
          <w:r>
            <w:rPr>
              <w:sz w:val="24"/>
              <w:szCs w:val="24"/>
            </w:rPr>
            <w:t>4</w:t>
          </w:r>
          <w:r>
            <w:rPr>
              <w:sz w:val="24"/>
              <w:szCs w:val="24"/>
            </w:rPr>
            <w:fldChar w:fldCharType="end"/>
          </w:r>
          <w:r>
            <w:rPr>
              <w:sz w:val="24"/>
              <w:szCs w:val="24"/>
            </w:rPr>
            <w:fldChar w:fldCharType="end"/>
          </w:r>
        </w:p>
        <w:p w14:paraId="50B1B01A">
          <w:pPr>
            <w:pStyle w:val="32"/>
            <w:tabs>
              <w:tab w:val="right" w:leader="dot" w:pos="8306"/>
            </w:tabs>
            <w:spacing w:line="360" w:lineRule="auto"/>
            <w:rPr>
              <w:sz w:val="24"/>
              <w:szCs w:val="24"/>
            </w:rPr>
          </w:pPr>
          <w:r>
            <w:fldChar w:fldCharType="begin"/>
          </w:r>
          <w:r>
            <w:instrText xml:space="preserve"> HYPERLINK \l "_Toc28792" </w:instrText>
          </w:r>
          <w:r>
            <w:fldChar w:fldCharType="separate"/>
          </w:r>
          <w:r>
            <w:rPr>
              <w:rFonts w:hint="eastAsia" w:cs="Times New Roman" w:asciiTheme="minorEastAsia" w:hAnsiTheme="minorEastAsia"/>
              <w:kern w:val="0"/>
              <w:sz w:val="24"/>
              <w:szCs w:val="24"/>
            </w:rPr>
            <w:t>（一）企业质量理念</w:t>
          </w:r>
          <w:r>
            <w:rPr>
              <w:sz w:val="24"/>
              <w:szCs w:val="24"/>
            </w:rPr>
            <w:tab/>
          </w:r>
          <w:r>
            <w:rPr>
              <w:sz w:val="24"/>
              <w:szCs w:val="24"/>
            </w:rPr>
            <w:fldChar w:fldCharType="begin"/>
          </w:r>
          <w:r>
            <w:rPr>
              <w:sz w:val="24"/>
              <w:szCs w:val="24"/>
            </w:rPr>
            <w:instrText xml:space="preserve"> PAGEREF _Toc28792 </w:instrText>
          </w:r>
          <w:r>
            <w:rPr>
              <w:sz w:val="24"/>
              <w:szCs w:val="24"/>
            </w:rPr>
            <w:fldChar w:fldCharType="separate"/>
          </w:r>
          <w:r>
            <w:rPr>
              <w:sz w:val="24"/>
              <w:szCs w:val="24"/>
            </w:rPr>
            <w:t>4</w:t>
          </w:r>
          <w:r>
            <w:rPr>
              <w:sz w:val="24"/>
              <w:szCs w:val="24"/>
            </w:rPr>
            <w:fldChar w:fldCharType="end"/>
          </w:r>
          <w:r>
            <w:rPr>
              <w:sz w:val="24"/>
              <w:szCs w:val="24"/>
            </w:rPr>
            <w:fldChar w:fldCharType="end"/>
          </w:r>
        </w:p>
        <w:p w14:paraId="486F5A53">
          <w:pPr>
            <w:pStyle w:val="32"/>
            <w:tabs>
              <w:tab w:val="right" w:leader="dot" w:pos="8306"/>
            </w:tabs>
            <w:spacing w:line="360" w:lineRule="auto"/>
            <w:rPr>
              <w:sz w:val="24"/>
              <w:szCs w:val="24"/>
            </w:rPr>
          </w:pPr>
          <w:r>
            <w:fldChar w:fldCharType="begin"/>
          </w:r>
          <w:r>
            <w:instrText xml:space="preserve"> HYPERLINK \l "_Toc9290" </w:instrText>
          </w:r>
          <w:r>
            <w:fldChar w:fldCharType="separate"/>
          </w:r>
          <w:r>
            <w:rPr>
              <w:rFonts w:hint="eastAsia" w:cs="Times New Roman" w:asciiTheme="minorEastAsia" w:hAnsiTheme="minorEastAsia"/>
              <w:kern w:val="0"/>
              <w:sz w:val="24"/>
              <w:szCs w:val="24"/>
            </w:rPr>
            <w:t>（二）质量管理机构</w:t>
          </w:r>
          <w:r>
            <w:rPr>
              <w:sz w:val="24"/>
              <w:szCs w:val="24"/>
            </w:rPr>
            <w:tab/>
          </w:r>
          <w:r>
            <w:rPr>
              <w:sz w:val="24"/>
              <w:szCs w:val="24"/>
            </w:rPr>
            <w:fldChar w:fldCharType="begin"/>
          </w:r>
          <w:r>
            <w:rPr>
              <w:sz w:val="24"/>
              <w:szCs w:val="24"/>
            </w:rPr>
            <w:instrText xml:space="preserve"> PAGEREF _Toc9290 </w:instrText>
          </w:r>
          <w:r>
            <w:rPr>
              <w:sz w:val="24"/>
              <w:szCs w:val="24"/>
            </w:rPr>
            <w:fldChar w:fldCharType="separate"/>
          </w:r>
          <w:r>
            <w:rPr>
              <w:sz w:val="24"/>
              <w:szCs w:val="24"/>
            </w:rPr>
            <w:t>5</w:t>
          </w:r>
          <w:r>
            <w:rPr>
              <w:sz w:val="24"/>
              <w:szCs w:val="24"/>
            </w:rPr>
            <w:fldChar w:fldCharType="end"/>
          </w:r>
          <w:r>
            <w:rPr>
              <w:sz w:val="24"/>
              <w:szCs w:val="24"/>
            </w:rPr>
            <w:fldChar w:fldCharType="end"/>
          </w:r>
        </w:p>
        <w:p w14:paraId="14E2A7A2">
          <w:pPr>
            <w:pStyle w:val="32"/>
            <w:tabs>
              <w:tab w:val="right" w:leader="dot" w:pos="8306"/>
            </w:tabs>
            <w:spacing w:line="360" w:lineRule="auto"/>
            <w:rPr>
              <w:sz w:val="24"/>
              <w:szCs w:val="24"/>
            </w:rPr>
          </w:pPr>
          <w:r>
            <w:fldChar w:fldCharType="begin"/>
          </w:r>
          <w:r>
            <w:instrText xml:space="preserve"> HYPERLINK \l "_Toc21673" </w:instrText>
          </w:r>
          <w:r>
            <w:fldChar w:fldCharType="separate"/>
          </w:r>
          <w:r>
            <w:rPr>
              <w:rFonts w:hint="eastAsia" w:cs="Times New Roman" w:asciiTheme="minorEastAsia" w:hAnsiTheme="minorEastAsia"/>
              <w:kern w:val="0"/>
              <w:sz w:val="24"/>
              <w:szCs w:val="24"/>
            </w:rPr>
            <w:t>（三）质量管理体系</w:t>
          </w:r>
          <w:r>
            <w:rPr>
              <w:sz w:val="24"/>
              <w:szCs w:val="24"/>
            </w:rPr>
            <w:tab/>
          </w:r>
          <w:r>
            <w:rPr>
              <w:sz w:val="24"/>
              <w:szCs w:val="24"/>
            </w:rPr>
            <w:fldChar w:fldCharType="begin"/>
          </w:r>
          <w:r>
            <w:rPr>
              <w:sz w:val="24"/>
              <w:szCs w:val="24"/>
            </w:rPr>
            <w:instrText xml:space="preserve"> PAGEREF _Toc21673 </w:instrText>
          </w:r>
          <w:r>
            <w:rPr>
              <w:sz w:val="24"/>
              <w:szCs w:val="24"/>
            </w:rPr>
            <w:fldChar w:fldCharType="separate"/>
          </w:r>
          <w:r>
            <w:rPr>
              <w:sz w:val="24"/>
              <w:szCs w:val="24"/>
            </w:rPr>
            <w:t>5</w:t>
          </w:r>
          <w:r>
            <w:rPr>
              <w:sz w:val="24"/>
              <w:szCs w:val="24"/>
            </w:rPr>
            <w:fldChar w:fldCharType="end"/>
          </w:r>
          <w:r>
            <w:rPr>
              <w:sz w:val="24"/>
              <w:szCs w:val="24"/>
            </w:rPr>
            <w:fldChar w:fldCharType="end"/>
          </w:r>
        </w:p>
        <w:p w14:paraId="70582423">
          <w:pPr>
            <w:pStyle w:val="32"/>
            <w:tabs>
              <w:tab w:val="right" w:leader="dot" w:pos="8306"/>
            </w:tabs>
            <w:spacing w:line="360" w:lineRule="auto"/>
            <w:rPr>
              <w:sz w:val="24"/>
              <w:szCs w:val="24"/>
            </w:rPr>
          </w:pPr>
          <w:r>
            <w:fldChar w:fldCharType="begin"/>
          </w:r>
          <w:r>
            <w:instrText xml:space="preserve"> HYPERLINK \l "_Toc31735" </w:instrText>
          </w:r>
          <w:r>
            <w:fldChar w:fldCharType="separate"/>
          </w:r>
          <w:r>
            <w:rPr>
              <w:rFonts w:hint="eastAsia" w:cs="Times New Roman" w:asciiTheme="minorEastAsia" w:hAnsiTheme="minorEastAsia"/>
              <w:kern w:val="0"/>
              <w:sz w:val="24"/>
              <w:szCs w:val="24"/>
            </w:rPr>
            <w:t>（四）质量诚信管理</w:t>
          </w:r>
          <w:r>
            <w:rPr>
              <w:sz w:val="24"/>
              <w:szCs w:val="24"/>
            </w:rPr>
            <w:tab/>
          </w:r>
          <w:r>
            <w:rPr>
              <w:sz w:val="24"/>
              <w:szCs w:val="24"/>
            </w:rPr>
            <w:fldChar w:fldCharType="begin"/>
          </w:r>
          <w:r>
            <w:rPr>
              <w:sz w:val="24"/>
              <w:szCs w:val="24"/>
            </w:rPr>
            <w:instrText xml:space="preserve"> PAGEREF _Toc31735 </w:instrText>
          </w:r>
          <w:r>
            <w:rPr>
              <w:sz w:val="24"/>
              <w:szCs w:val="24"/>
            </w:rPr>
            <w:fldChar w:fldCharType="separate"/>
          </w:r>
          <w:r>
            <w:rPr>
              <w:sz w:val="24"/>
              <w:szCs w:val="24"/>
            </w:rPr>
            <w:t>8</w:t>
          </w:r>
          <w:r>
            <w:rPr>
              <w:sz w:val="24"/>
              <w:szCs w:val="24"/>
            </w:rPr>
            <w:fldChar w:fldCharType="end"/>
          </w:r>
          <w:r>
            <w:rPr>
              <w:sz w:val="24"/>
              <w:szCs w:val="24"/>
            </w:rPr>
            <w:fldChar w:fldCharType="end"/>
          </w:r>
        </w:p>
        <w:p w14:paraId="324B0233">
          <w:pPr>
            <w:pStyle w:val="32"/>
            <w:tabs>
              <w:tab w:val="right" w:leader="dot" w:pos="8306"/>
            </w:tabs>
            <w:spacing w:line="360" w:lineRule="auto"/>
            <w:rPr>
              <w:sz w:val="24"/>
              <w:szCs w:val="24"/>
            </w:rPr>
          </w:pPr>
          <w:r>
            <w:fldChar w:fldCharType="begin"/>
          </w:r>
          <w:r>
            <w:instrText xml:space="preserve"> HYPERLINK \l "_Toc18678" </w:instrText>
          </w:r>
          <w:r>
            <w:fldChar w:fldCharType="separate"/>
          </w:r>
          <w:r>
            <w:rPr>
              <w:rFonts w:hint="eastAsia" w:cs="Times New Roman" w:asciiTheme="minorEastAsia" w:hAnsiTheme="minorEastAsia"/>
              <w:kern w:val="0"/>
              <w:sz w:val="24"/>
              <w:szCs w:val="24"/>
            </w:rPr>
            <w:t>（五）企业文化建设</w:t>
          </w:r>
          <w:r>
            <w:rPr>
              <w:sz w:val="24"/>
              <w:szCs w:val="24"/>
            </w:rPr>
            <w:tab/>
          </w:r>
          <w:r>
            <w:rPr>
              <w:sz w:val="24"/>
              <w:szCs w:val="24"/>
            </w:rPr>
            <w:fldChar w:fldCharType="begin"/>
          </w:r>
          <w:r>
            <w:rPr>
              <w:sz w:val="24"/>
              <w:szCs w:val="24"/>
            </w:rPr>
            <w:instrText xml:space="preserve"> PAGEREF _Toc18678 </w:instrText>
          </w:r>
          <w:r>
            <w:rPr>
              <w:sz w:val="24"/>
              <w:szCs w:val="24"/>
            </w:rPr>
            <w:fldChar w:fldCharType="separate"/>
          </w:r>
          <w:r>
            <w:rPr>
              <w:sz w:val="24"/>
              <w:szCs w:val="24"/>
            </w:rPr>
            <w:t>11</w:t>
          </w:r>
          <w:r>
            <w:rPr>
              <w:sz w:val="24"/>
              <w:szCs w:val="24"/>
            </w:rPr>
            <w:fldChar w:fldCharType="end"/>
          </w:r>
          <w:r>
            <w:rPr>
              <w:sz w:val="24"/>
              <w:szCs w:val="24"/>
            </w:rPr>
            <w:fldChar w:fldCharType="end"/>
          </w:r>
        </w:p>
        <w:p w14:paraId="76EE5745">
          <w:pPr>
            <w:pStyle w:val="32"/>
            <w:tabs>
              <w:tab w:val="right" w:leader="dot" w:pos="8306"/>
            </w:tabs>
            <w:spacing w:line="360" w:lineRule="auto"/>
            <w:rPr>
              <w:sz w:val="24"/>
              <w:szCs w:val="24"/>
            </w:rPr>
          </w:pPr>
          <w:r>
            <w:fldChar w:fldCharType="begin"/>
          </w:r>
          <w:r>
            <w:instrText xml:space="preserve"> HYPERLINK \l "_Toc5299" </w:instrText>
          </w:r>
          <w:r>
            <w:fldChar w:fldCharType="separate"/>
          </w:r>
          <w:r>
            <w:rPr>
              <w:rFonts w:hint="eastAsia" w:cs="Times New Roman" w:asciiTheme="minorEastAsia" w:hAnsiTheme="minorEastAsia"/>
              <w:kern w:val="0"/>
              <w:sz w:val="24"/>
              <w:szCs w:val="24"/>
            </w:rPr>
            <w:t>（六）企业技术水平</w:t>
          </w:r>
          <w:r>
            <w:rPr>
              <w:sz w:val="24"/>
              <w:szCs w:val="24"/>
            </w:rPr>
            <w:tab/>
          </w:r>
          <w:r>
            <w:rPr>
              <w:sz w:val="24"/>
              <w:szCs w:val="24"/>
            </w:rPr>
            <w:fldChar w:fldCharType="begin"/>
          </w:r>
          <w:r>
            <w:rPr>
              <w:sz w:val="24"/>
              <w:szCs w:val="24"/>
            </w:rPr>
            <w:instrText xml:space="preserve"> PAGEREF _Toc5299 </w:instrText>
          </w:r>
          <w:r>
            <w:rPr>
              <w:sz w:val="24"/>
              <w:szCs w:val="24"/>
            </w:rPr>
            <w:fldChar w:fldCharType="separate"/>
          </w:r>
          <w:r>
            <w:rPr>
              <w:sz w:val="24"/>
              <w:szCs w:val="24"/>
            </w:rPr>
            <w:t>12</w:t>
          </w:r>
          <w:r>
            <w:rPr>
              <w:sz w:val="24"/>
              <w:szCs w:val="24"/>
            </w:rPr>
            <w:fldChar w:fldCharType="end"/>
          </w:r>
          <w:r>
            <w:rPr>
              <w:sz w:val="24"/>
              <w:szCs w:val="24"/>
            </w:rPr>
            <w:fldChar w:fldCharType="end"/>
          </w:r>
        </w:p>
        <w:p w14:paraId="5D77447B">
          <w:pPr>
            <w:pStyle w:val="32"/>
            <w:tabs>
              <w:tab w:val="right" w:leader="dot" w:pos="8306"/>
            </w:tabs>
            <w:spacing w:line="360" w:lineRule="auto"/>
            <w:rPr>
              <w:sz w:val="24"/>
              <w:szCs w:val="24"/>
            </w:rPr>
          </w:pPr>
          <w:r>
            <w:fldChar w:fldCharType="begin"/>
          </w:r>
          <w:r>
            <w:instrText xml:space="preserve"> HYPERLINK \l "_Toc26372" </w:instrText>
          </w:r>
          <w:r>
            <w:fldChar w:fldCharType="separate"/>
          </w:r>
          <w:r>
            <w:rPr>
              <w:rFonts w:hint="eastAsia" w:cs="Times New Roman" w:asciiTheme="minorEastAsia" w:hAnsiTheme="minorEastAsia"/>
              <w:kern w:val="0"/>
              <w:sz w:val="24"/>
              <w:szCs w:val="24"/>
            </w:rPr>
            <w:t>（七）企业计量水平</w:t>
          </w:r>
          <w:r>
            <w:rPr>
              <w:sz w:val="24"/>
              <w:szCs w:val="24"/>
            </w:rPr>
            <w:tab/>
          </w:r>
          <w:r>
            <w:rPr>
              <w:sz w:val="24"/>
              <w:szCs w:val="24"/>
            </w:rPr>
            <w:fldChar w:fldCharType="begin"/>
          </w:r>
          <w:r>
            <w:rPr>
              <w:sz w:val="24"/>
              <w:szCs w:val="24"/>
            </w:rPr>
            <w:instrText xml:space="preserve"> PAGEREF _Toc26372 </w:instrText>
          </w:r>
          <w:r>
            <w:rPr>
              <w:sz w:val="24"/>
              <w:szCs w:val="24"/>
            </w:rPr>
            <w:fldChar w:fldCharType="separate"/>
          </w:r>
          <w:r>
            <w:rPr>
              <w:sz w:val="24"/>
              <w:szCs w:val="24"/>
            </w:rPr>
            <w:t>12</w:t>
          </w:r>
          <w:r>
            <w:rPr>
              <w:sz w:val="24"/>
              <w:szCs w:val="24"/>
            </w:rPr>
            <w:fldChar w:fldCharType="end"/>
          </w:r>
          <w:r>
            <w:rPr>
              <w:sz w:val="24"/>
              <w:szCs w:val="24"/>
            </w:rPr>
            <w:fldChar w:fldCharType="end"/>
          </w:r>
        </w:p>
        <w:p w14:paraId="7F2B2C49">
          <w:pPr>
            <w:pStyle w:val="32"/>
            <w:tabs>
              <w:tab w:val="right" w:leader="dot" w:pos="8306"/>
            </w:tabs>
            <w:spacing w:line="360" w:lineRule="auto"/>
            <w:rPr>
              <w:sz w:val="24"/>
              <w:szCs w:val="24"/>
            </w:rPr>
          </w:pPr>
          <w:r>
            <w:fldChar w:fldCharType="begin"/>
          </w:r>
          <w:r>
            <w:instrText xml:space="preserve"> HYPERLINK \l "_Toc9831" </w:instrText>
          </w:r>
          <w:r>
            <w:fldChar w:fldCharType="separate"/>
          </w:r>
          <w:r>
            <w:rPr>
              <w:rFonts w:hint="eastAsia" w:cs="Times New Roman" w:asciiTheme="minorEastAsia" w:hAnsiTheme="minorEastAsia"/>
              <w:kern w:val="0"/>
              <w:sz w:val="24"/>
              <w:szCs w:val="24"/>
            </w:rPr>
            <w:t>（八）认证认可情况</w:t>
          </w:r>
          <w:r>
            <w:rPr>
              <w:sz w:val="24"/>
              <w:szCs w:val="24"/>
            </w:rPr>
            <w:tab/>
          </w:r>
          <w:r>
            <w:rPr>
              <w:sz w:val="24"/>
              <w:szCs w:val="24"/>
            </w:rPr>
            <w:fldChar w:fldCharType="begin"/>
          </w:r>
          <w:r>
            <w:rPr>
              <w:sz w:val="24"/>
              <w:szCs w:val="24"/>
            </w:rPr>
            <w:instrText xml:space="preserve"> PAGEREF _Toc9831 </w:instrText>
          </w:r>
          <w:r>
            <w:rPr>
              <w:sz w:val="24"/>
              <w:szCs w:val="24"/>
            </w:rPr>
            <w:fldChar w:fldCharType="separate"/>
          </w:r>
          <w:r>
            <w:rPr>
              <w:sz w:val="24"/>
              <w:szCs w:val="24"/>
            </w:rPr>
            <w:t>13</w:t>
          </w:r>
          <w:r>
            <w:rPr>
              <w:sz w:val="24"/>
              <w:szCs w:val="24"/>
            </w:rPr>
            <w:fldChar w:fldCharType="end"/>
          </w:r>
          <w:r>
            <w:rPr>
              <w:sz w:val="24"/>
              <w:szCs w:val="24"/>
            </w:rPr>
            <w:fldChar w:fldCharType="end"/>
          </w:r>
        </w:p>
        <w:p w14:paraId="4DD03FA6">
          <w:pPr>
            <w:pStyle w:val="32"/>
            <w:tabs>
              <w:tab w:val="right" w:leader="dot" w:pos="8306"/>
            </w:tabs>
            <w:spacing w:line="360" w:lineRule="auto"/>
            <w:rPr>
              <w:sz w:val="24"/>
              <w:szCs w:val="24"/>
            </w:rPr>
          </w:pPr>
          <w:r>
            <w:fldChar w:fldCharType="begin"/>
          </w:r>
          <w:r>
            <w:instrText xml:space="preserve"> HYPERLINK \l "_Toc110" </w:instrText>
          </w:r>
          <w:r>
            <w:fldChar w:fldCharType="separate"/>
          </w:r>
          <w:r>
            <w:rPr>
              <w:rFonts w:hint="eastAsia" w:cs="Times New Roman" w:asciiTheme="minorEastAsia" w:hAnsiTheme="minorEastAsia"/>
              <w:kern w:val="0"/>
              <w:sz w:val="24"/>
              <w:szCs w:val="24"/>
            </w:rPr>
            <w:t>（九）产品质量承诺</w:t>
          </w:r>
          <w:r>
            <w:rPr>
              <w:sz w:val="24"/>
              <w:szCs w:val="24"/>
            </w:rPr>
            <w:tab/>
          </w:r>
          <w:r>
            <w:rPr>
              <w:sz w:val="24"/>
              <w:szCs w:val="24"/>
            </w:rPr>
            <w:fldChar w:fldCharType="begin"/>
          </w:r>
          <w:r>
            <w:rPr>
              <w:sz w:val="24"/>
              <w:szCs w:val="24"/>
            </w:rPr>
            <w:instrText xml:space="preserve"> PAGEREF _Toc110 </w:instrText>
          </w:r>
          <w:r>
            <w:rPr>
              <w:sz w:val="24"/>
              <w:szCs w:val="24"/>
            </w:rPr>
            <w:fldChar w:fldCharType="separate"/>
          </w:r>
          <w:r>
            <w:rPr>
              <w:sz w:val="24"/>
              <w:szCs w:val="24"/>
            </w:rPr>
            <w:t>13</w:t>
          </w:r>
          <w:r>
            <w:rPr>
              <w:sz w:val="24"/>
              <w:szCs w:val="24"/>
            </w:rPr>
            <w:fldChar w:fldCharType="end"/>
          </w:r>
          <w:r>
            <w:rPr>
              <w:sz w:val="24"/>
              <w:szCs w:val="24"/>
            </w:rPr>
            <w:fldChar w:fldCharType="end"/>
          </w:r>
        </w:p>
        <w:p w14:paraId="01ABB0EE">
          <w:pPr>
            <w:pStyle w:val="32"/>
            <w:tabs>
              <w:tab w:val="right" w:leader="dot" w:pos="8306"/>
            </w:tabs>
            <w:spacing w:line="360" w:lineRule="auto"/>
            <w:rPr>
              <w:sz w:val="24"/>
              <w:szCs w:val="24"/>
            </w:rPr>
          </w:pPr>
          <w:r>
            <w:fldChar w:fldCharType="begin"/>
          </w:r>
          <w:r>
            <w:instrText xml:space="preserve"> HYPERLINK \l "_Toc14390" </w:instrText>
          </w:r>
          <w:r>
            <w:fldChar w:fldCharType="separate"/>
          </w:r>
          <w:r>
            <w:rPr>
              <w:rFonts w:hint="eastAsia" w:cs="Times New Roman" w:asciiTheme="minorEastAsia" w:hAnsiTheme="minorEastAsia"/>
              <w:kern w:val="0"/>
              <w:sz w:val="24"/>
              <w:szCs w:val="24"/>
            </w:rPr>
            <w:t>（十）质量投诉处理</w:t>
          </w:r>
          <w:r>
            <w:rPr>
              <w:sz w:val="24"/>
              <w:szCs w:val="24"/>
            </w:rPr>
            <w:tab/>
          </w:r>
          <w:r>
            <w:rPr>
              <w:sz w:val="24"/>
              <w:szCs w:val="24"/>
            </w:rPr>
            <w:fldChar w:fldCharType="begin"/>
          </w:r>
          <w:r>
            <w:rPr>
              <w:sz w:val="24"/>
              <w:szCs w:val="24"/>
            </w:rPr>
            <w:instrText xml:space="preserve"> PAGEREF _Toc14390 </w:instrText>
          </w:r>
          <w:r>
            <w:rPr>
              <w:sz w:val="24"/>
              <w:szCs w:val="24"/>
            </w:rPr>
            <w:fldChar w:fldCharType="separate"/>
          </w:r>
          <w:r>
            <w:rPr>
              <w:sz w:val="24"/>
              <w:szCs w:val="24"/>
            </w:rPr>
            <w:t>13</w:t>
          </w:r>
          <w:r>
            <w:rPr>
              <w:sz w:val="24"/>
              <w:szCs w:val="24"/>
            </w:rPr>
            <w:fldChar w:fldCharType="end"/>
          </w:r>
          <w:r>
            <w:rPr>
              <w:sz w:val="24"/>
              <w:szCs w:val="24"/>
            </w:rPr>
            <w:fldChar w:fldCharType="end"/>
          </w:r>
        </w:p>
        <w:p w14:paraId="2C5D6D24">
          <w:pPr>
            <w:pStyle w:val="32"/>
            <w:tabs>
              <w:tab w:val="right" w:leader="dot" w:pos="8306"/>
            </w:tabs>
            <w:spacing w:line="360" w:lineRule="auto"/>
            <w:rPr>
              <w:sz w:val="24"/>
              <w:szCs w:val="24"/>
            </w:rPr>
          </w:pPr>
          <w:r>
            <w:fldChar w:fldCharType="begin"/>
          </w:r>
          <w:r>
            <w:instrText xml:space="preserve"> HYPERLINK \l "_Toc21494" </w:instrText>
          </w:r>
          <w:r>
            <w:fldChar w:fldCharType="separate"/>
          </w:r>
          <w:r>
            <w:rPr>
              <w:rFonts w:hint="eastAsia" w:cs="Times New Roman" w:asciiTheme="minorEastAsia" w:hAnsiTheme="minorEastAsia"/>
              <w:kern w:val="0"/>
              <w:sz w:val="24"/>
              <w:szCs w:val="24"/>
            </w:rPr>
            <w:t>（十一）质量风险监测</w:t>
          </w:r>
          <w:r>
            <w:rPr>
              <w:sz w:val="24"/>
              <w:szCs w:val="24"/>
            </w:rPr>
            <w:tab/>
          </w:r>
          <w:r>
            <w:rPr>
              <w:sz w:val="24"/>
              <w:szCs w:val="24"/>
            </w:rPr>
            <w:fldChar w:fldCharType="begin"/>
          </w:r>
          <w:r>
            <w:rPr>
              <w:sz w:val="24"/>
              <w:szCs w:val="24"/>
            </w:rPr>
            <w:instrText xml:space="preserve"> PAGEREF _Toc21494 </w:instrText>
          </w:r>
          <w:r>
            <w:rPr>
              <w:sz w:val="24"/>
              <w:szCs w:val="24"/>
            </w:rPr>
            <w:fldChar w:fldCharType="separate"/>
          </w:r>
          <w:r>
            <w:rPr>
              <w:sz w:val="24"/>
              <w:szCs w:val="24"/>
            </w:rPr>
            <w:t>14</w:t>
          </w:r>
          <w:r>
            <w:rPr>
              <w:sz w:val="24"/>
              <w:szCs w:val="24"/>
            </w:rPr>
            <w:fldChar w:fldCharType="end"/>
          </w:r>
          <w:r>
            <w:rPr>
              <w:sz w:val="24"/>
              <w:szCs w:val="24"/>
            </w:rPr>
            <w:fldChar w:fldCharType="end"/>
          </w:r>
        </w:p>
        <w:p w14:paraId="552CB204">
          <w:pPr>
            <w:pStyle w:val="29"/>
            <w:tabs>
              <w:tab w:val="right" w:leader="dot" w:pos="8306"/>
            </w:tabs>
            <w:spacing w:line="360" w:lineRule="auto"/>
            <w:rPr>
              <w:sz w:val="24"/>
              <w:szCs w:val="24"/>
            </w:rPr>
          </w:pPr>
          <w:r>
            <w:fldChar w:fldCharType="begin"/>
          </w:r>
          <w:r>
            <w:instrText xml:space="preserve"> HYPERLINK \l "_Toc14688" </w:instrText>
          </w:r>
          <w:r>
            <w:fldChar w:fldCharType="separate"/>
          </w:r>
          <w:r>
            <w:rPr>
              <w:rFonts w:hint="eastAsia" w:cs="Times New Roman" w:asciiTheme="minorEastAsia" w:hAnsiTheme="minorEastAsia"/>
              <w:kern w:val="0"/>
              <w:sz w:val="24"/>
              <w:szCs w:val="24"/>
            </w:rPr>
            <w:t>三、展望</w:t>
          </w:r>
          <w:r>
            <w:rPr>
              <w:sz w:val="24"/>
              <w:szCs w:val="24"/>
            </w:rPr>
            <w:tab/>
          </w:r>
          <w:r>
            <w:rPr>
              <w:sz w:val="24"/>
              <w:szCs w:val="24"/>
            </w:rPr>
            <w:fldChar w:fldCharType="begin"/>
          </w:r>
          <w:r>
            <w:rPr>
              <w:sz w:val="24"/>
              <w:szCs w:val="24"/>
            </w:rPr>
            <w:instrText xml:space="preserve"> PAGEREF _Toc14688 </w:instrText>
          </w:r>
          <w:r>
            <w:rPr>
              <w:sz w:val="24"/>
              <w:szCs w:val="24"/>
            </w:rPr>
            <w:fldChar w:fldCharType="separate"/>
          </w:r>
          <w:r>
            <w:rPr>
              <w:sz w:val="24"/>
              <w:szCs w:val="24"/>
            </w:rPr>
            <w:t>14</w:t>
          </w:r>
          <w:r>
            <w:rPr>
              <w:sz w:val="24"/>
              <w:szCs w:val="24"/>
            </w:rPr>
            <w:fldChar w:fldCharType="end"/>
          </w:r>
          <w:r>
            <w:rPr>
              <w:sz w:val="24"/>
              <w:szCs w:val="24"/>
            </w:rPr>
            <w:fldChar w:fldCharType="end"/>
          </w:r>
        </w:p>
        <w:p w14:paraId="312007E0">
          <w:pPr>
            <w:spacing w:before="40" w:after="40" w:line="360" w:lineRule="auto"/>
            <w:jc w:val="center"/>
            <w:rPr>
              <w:rFonts w:ascii="宋体" w:hAnsi="宋体" w:eastAsia="宋体" w:cs="宋体"/>
              <w:szCs w:val="36"/>
            </w:rPr>
          </w:pPr>
          <w:r>
            <w:rPr>
              <w:rFonts w:ascii="宋体" w:hAnsi="宋体" w:eastAsia="宋体" w:cs="宋体"/>
              <w:sz w:val="24"/>
              <w:szCs w:val="24"/>
            </w:rPr>
            <w:fldChar w:fldCharType="end"/>
          </w:r>
        </w:p>
      </w:sdtContent>
    </w:sdt>
    <w:p w14:paraId="55C27EFE">
      <w:pPr>
        <w:spacing w:line="360" w:lineRule="auto"/>
        <w:ind w:firstLine="480" w:firstLineChars="200"/>
        <w:rPr>
          <w:rFonts w:cs="Times New Roman" w:asciiTheme="minorEastAsia" w:hAnsiTheme="minorEastAsia"/>
          <w:kern w:val="0"/>
          <w:sz w:val="24"/>
          <w:szCs w:val="24"/>
        </w:rPr>
      </w:pPr>
      <w:bookmarkStart w:id="1" w:name="_Toc451594564"/>
    </w:p>
    <w:p w14:paraId="197360F8">
      <w:pPr>
        <w:spacing w:line="360" w:lineRule="auto"/>
        <w:ind w:firstLine="480" w:firstLineChars="200"/>
        <w:rPr>
          <w:rFonts w:cs="Times New Roman" w:asciiTheme="minorEastAsia" w:hAnsiTheme="minorEastAsia"/>
          <w:kern w:val="0"/>
          <w:sz w:val="24"/>
          <w:szCs w:val="24"/>
        </w:rPr>
      </w:pPr>
    </w:p>
    <w:p w14:paraId="09C121AF">
      <w:pPr>
        <w:spacing w:line="360" w:lineRule="auto"/>
        <w:ind w:firstLine="480" w:firstLineChars="200"/>
        <w:rPr>
          <w:rFonts w:cs="Times New Roman" w:asciiTheme="minorEastAsia" w:hAnsiTheme="minorEastAsia"/>
          <w:kern w:val="0"/>
          <w:sz w:val="24"/>
          <w:szCs w:val="24"/>
        </w:rPr>
      </w:pPr>
    </w:p>
    <w:p w14:paraId="6690C4BE">
      <w:pPr>
        <w:spacing w:line="360" w:lineRule="auto"/>
        <w:ind w:firstLine="480" w:firstLineChars="200"/>
        <w:rPr>
          <w:rFonts w:cs="Times New Roman" w:asciiTheme="minorEastAsia" w:hAnsiTheme="minorEastAsia"/>
          <w:kern w:val="0"/>
          <w:sz w:val="24"/>
          <w:szCs w:val="24"/>
        </w:rPr>
      </w:pPr>
    </w:p>
    <w:p w14:paraId="3DDECD00">
      <w:pPr>
        <w:spacing w:line="360" w:lineRule="auto"/>
        <w:ind w:firstLine="480" w:firstLineChars="200"/>
        <w:rPr>
          <w:rFonts w:cs="Times New Roman" w:asciiTheme="minorEastAsia" w:hAnsiTheme="minorEastAsia"/>
          <w:kern w:val="0"/>
          <w:sz w:val="24"/>
          <w:szCs w:val="24"/>
        </w:rPr>
      </w:pPr>
    </w:p>
    <w:p w14:paraId="365445FB">
      <w:pPr>
        <w:spacing w:line="360" w:lineRule="auto"/>
        <w:ind w:firstLine="480" w:firstLineChars="200"/>
        <w:rPr>
          <w:rFonts w:cs="Times New Roman" w:asciiTheme="minorEastAsia" w:hAnsiTheme="minorEastAsia"/>
          <w:kern w:val="0"/>
          <w:sz w:val="24"/>
          <w:szCs w:val="24"/>
        </w:rPr>
      </w:pPr>
    </w:p>
    <w:p w14:paraId="39EAEF19">
      <w:pPr>
        <w:spacing w:line="360" w:lineRule="auto"/>
        <w:ind w:firstLine="480" w:firstLineChars="200"/>
        <w:rPr>
          <w:rFonts w:cs="Times New Roman" w:asciiTheme="minorEastAsia" w:hAnsiTheme="minorEastAsia"/>
          <w:kern w:val="0"/>
          <w:sz w:val="24"/>
          <w:szCs w:val="24"/>
        </w:rPr>
      </w:pPr>
    </w:p>
    <w:p w14:paraId="48BB5420">
      <w:pPr>
        <w:spacing w:line="360" w:lineRule="auto"/>
        <w:ind w:firstLine="480" w:firstLineChars="200"/>
        <w:rPr>
          <w:rFonts w:cs="Times New Roman" w:asciiTheme="minorEastAsia" w:hAnsiTheme="minorEastAsia"/>
          <w:kern w:val="0"/>
          <w:sz w:val="24"/>
          <w:szCs w:val="24"/>
        </w:rPr>
      </w:pPr>
    </w:p>
    <w:p w14:paraId="4E769002">
      <w:pPr>
        <w:spacing w:line="360" w:lineRule="auto"/>
        <w:ind w:firstLine="480" w:firstLineChars="200"/>
        <w:outlineLvl w:val="0"/>
        <w:rPr>
          <w:rFonts w:cs="Times New Roman" w:asciiTheme="minorEastAsia" w:hAnsiTheme="minorEastAsia"/>
          <w:kern w:val="0"/>
          <w:sz w:val="24"/>
          <w:szCs w:val="24"/>
        </w:rPr>
      </w:pPr>
      <w:bookmarkStart w:id="2" w:name="_Toc16600"/>
      <w:r>
        <w:rPr>
          <w:rFonts w:hint="eastAsia" w:cs="Times New Roman" w:asciiTheme="minorEastAsia" w:hAnsiTheme="minorEastAsia"/>
          <w:kern w:val="0"/>
          <w:sz w:val="24"/>
          <w:szCs w:val="24"/>
        </w:rPr>
        <w:t>一、前  言</w:t>
      </w:r>
      <w:bookmarkEnd w:id="1"/>
      <w:bookmarkEnd w:id="2"/>
    </w:p>
    <w:p w14:paraId="001388DD">
      <w:pPr>
        <w:spacing w:line="360" w:lineRule="auto"/>
        <w:ind w:firstLine="480" w:firstLineChars="200"/>
        <w:outlineLvl w:val="1"/>
        <w:rPr>
          <w:rFonts w:cs="Times New Roman" w:asciiTheme="minorEastAsia" w:hAnsiTheme="minorEastAsia"/>
          <w:kern w:val="0"/>
          <w:sz w:val="24"/>
          <w:szCs w:val="24"/>
        </w:rPr>
      </w:pPr>
      <w:bookmarkStart w:id="3" w:name="_Toc18094"/>
      <w:r>
        <w:rPr>
          <w:rFonts w:hint="eastAsia" w:cs="Times New Roman" w:asciiTheme="minorEastAsia" w:hAnsiTheme="minorEastAsia"/>
          <w:kern w:val="0"/>
          <w:sz w:val="24"/>
          <w:szCs w:val="24"/>
        </w:rPr>
        <w:t>（一）编制说明</w:t>
      </w:r>
      <w:bookmarkEnd w:id="3"/>
    </w:p>
    <w:p w14:paraId="5BBDD8A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本报告为浙江浦江圣力工贸有限公司（以下简称为“公司”或“圣力”）首次公开发布的《企业质量诚信报告》，系根据中华人民共和国国家标准</w:t>
      </w:r>
      <w:r>
        <w:rPr>
          <w:rFonts w:cs="Times New Roman" w:asciiTheme="minorEastAsia" w:hAnsiTheme="minorEastAsia"/>
          <w:kern w:val="0"/>
          <w:sz w:val="24"/>
          <w:szCs w:val="24"/>
        </w:rPr>
        <w:t>GB/T 29467-2012</w:t>
      </w:r>
      <w:r>
        <w:rPr>
          <w:rFonts w:hint="eastAsia" w:cs="Times New Roman" w:asciiTheme="minorEastAsia" w:hAnsiTheme="minorEastAsia"/>
          <w:kern w:val="0"/>
          <w:sz w:val="24"/>
          <w:szCs w:val="24"/>
        </w:rPr>
        <w:t>《企业质量诚信管理实施规范》和GB/T 31870-2015《企业质量信用报告编写指南》的规定，结合本公司</w:t>
      </w:r>
      <w:r>
        <w:rPr>
          <w:rFonts w:cs="Times New Roman" w:asciiTheme="minorEastAsia" w:hAnsiTheme="minorEastAsia"/>
          <w:kern w:val="0"/>
          <w:sz w:val="24"/>
          <w:szCs w:val="24"/>
        </w:rPr>
        <w:t>2019</w:t>
      </w:r>
      <w:r>
        <w:rPr>
          <w:rFonts w:hint="eastAsia" w:cs="Times New Roman" w:asciiTheme="minorEastAsia" w:hAnsiTheme="minorEastAsia"/>
          <w:kern w:val="0"/>
          <w:sz w:val="24"/>
          <w:szCs w:val="24"/>
        </w:rPr>
        <w:t>年质量诚信体系建设情况编制而成。</w:t>
      </w:r>
    </w:p>
    <w:p w14:paraId="50BA2D5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本公司保证本报告中所载资料在质量管理、产品质量责任、质量诚信管理等方面的理念、制度、采取的措施和取得的绩效等不存在任何虚假记载、误导性陈述，并对其内容的真实性、准确性承担责任。</w:t>
      </w:r>
    </w:p>
    <w:p w14:paraId="5010F92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报告组织范围：浙江浦江圣力工贸有限公司</w:t>
      </w:r>
    </w:p>
    <w:p w14:paraId="3D4036D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报告发布时间：</w:t>
      </w:r>
      <w:r>
        <w:rPr>
          <w:rFonts w:cs="Times New Roman" w:asciiTheme="minorEastAsia" w:hAnsiTheme="minorEastAsia"/>
          <w:kern w:val="0"/>
          <w:sz w:val="24"/>
          <w:szCs w:val="24"/>
        </w:rPr>
        <w:t>202</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年</w:t>
      </w: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月</w:t>
      </w: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日至</w:t>
      </w:r>
      <w:r>
        <w:rPr>
          <w:rFonts w:cs="Times New Roman" w:asciiTheme="minorEastAsia" w:hAnsiTheme="minorEastAsia"/>
          <w:kern w:val="0"/>
          <w:sz w:val="24"/>
          <w:szCs w:val="24"/>
        </w:rPr>
        <w:t>202</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年</w:t>
      </w:r>
      <w:r>
        <w:rPr>
          <w:rFonts w:cs="Times New Roman" w:asciiTheme="minorEastAsia" w:hAnsiTheme="minorEastAsia"/>
          <w:kern w:val="0"/>
          <w:sz w:val="24"/>
          <w:szCs w:val="24"/>
        </w:rPr>
        <w:t>12</w:t>
      </w:r>
      <w:r>
        <w:rPr>
          <w:rFonts w:hint="eastAsia" w:cs="Times New Roman" w:asciiTheme="minorEastAsia" w:hAnsiTheme="minorEastAsia"/>
          <w:kern w:val="0"/>
          <w:sz w:val="24"/>
          <w:szCs w:val="24"/>
        </w:rPr>
        <w:t>月</w:t>
      </w:r>
      <w:r>
        <w:rPr>
          <w:rFonts w:cs="Times New Roman" w:asciiTheme="minorEastAsia" w:hAnsiTheme="minorEastAsia"/>
          <w:kern w:val="0"/>
          <w:sz w:val="24"/>
          <w:szCs w:val="24"/>
        </w:rPr>
        <w:t>31</w:t>
      </w:r>
      <w:r>
        <w:rPr>
          <w:rFonts w:hint="eastAsia" w:cs="Times New Roman" w:asciiTheme="minorEastAsia" w:hAnsiTheme="minorEastAsia"/>
          <w:kern w:val="0"/>
          <w:sz w:val="24"/>
          <w:szCs w:val="24"/>
        </w:rPr>
        <w:t>日期间</w:t>
      </w:r>
    </w:p>
    <w:p w14:paraId="01CF7472">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报告发布周期:1次/年</w:t>
      </w:r>
    </w:p>
    <w:p w14:paraId="33ADDF2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报告数据说明:报告内所涉数据来源于公司,数据真实有效。</w:t>
      </w:r>
    </w:p>
    <w:p w14:paraId="4B10F952">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报告获取方式：公司网站</w:t>
      </w:r>
    </w:p>
    <w:p w14:paraId="013D19A3">
      <w:pPr>
        <w:spacing w:line="360" w:lineRule="auto"/>
        <w:ind w:firstLine="480" w:firstLineChars="200"/>
        <w:outlineLvl w:val="1"/>
        <w:rPr>
          <w:rFonts w:cs="Times New Roman" w:asciiTheme="minorEastAsia" w:hAnsiTheme="minorEastAsia"/>
          <w:kern w:val="0"/>
          <w:sz w:val="24"/>
          <w:szCs w:val="24"/>
        </w:rPr>
      </w:pPr>
      <w:bookmarkStart w:id="4" w:name="_Toc13821"/>
      <w:r>
        <w:rPr>
          <w:rFonts w:hint="eastAsia" w:cs="Times New Roman" w:asciiTheme="minorEastAsia" w:hAnsiTheme="minorEastAsia"/>
          <w:kern w:val="0"/>
          <w:sz w:val="24"/>
          <w:szCs w:val="24"/>
        </w:rPr>
        <w:t>（二）总经理致辞</w:t>
      </w:r>
      <w:bookmarkEnd w:id="4"/>
    </w:p>
    <w:p w14:paraId="5C5CFACF">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尊敬的政府质监部门、各界朋友及同仁： </w:t>
      </w:r>
    </w:p>
    <w:p w14:paraId="7639FA7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浙江浦江圣力工贸有限公司</w:t>
      </w:r>
      <w:r>
        <w:rPr>
          <w:rFonts w:cs="Times New Roman" w:asciiTheme="minorEastAsia" w:hAnsiTheme="minorEastAsia"/>
          <w:kern w:val="0"/>
          <w:sz w:val="24"/>
          <w:szCs w:val="24"/>
        </w:rPr>
        <w:t>衷心感谢社会各界广大用户的厚爱、支持与合作！ </w:t>
      </w:r>
    </w:p>
    <w:p w14:paraId="75A8A13D">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我公司拥有先进的生产工艺和设备，建立了严格的质量控制体系，致力于</w:t>
      </w:r>
      <w:r>
        <w:rPr>
          <w:rFonts w:hint="eastAsia" w:cs="Times New Roman" w:asciiTheme="minorEastAsia" w:hAnsiTheme="minorEastAsia"/>
          <w:kern w:val="0"/>
          <w:sz w:val="24"/>
          <w:szCs w:val="24"/>
        </w:rPr>
        <w:t>做一个有道德有责任的企业</w:t>
      </w:r>
      <w:r>
        <w:rPr>
          <w:rFonts w:cs="Times New Roman" w:asciiTheme="minorEastAsia" w:hAnsiTheme="minorEastAsia"/>
          <w:kern w:val="0"/>
          <w:sz w:val="24"/>
          <w:szCs w:val="24"/>
        </w:rPr>
        <w:t>。</w:t>
      </w:r>
    </w:p>
    <w:p w14:paraId="4894A28A">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公司始终本着“</w:t>
      </w:r>
      <w:r>
        <w:rPr>
          <w:rFonts w:hint="eastAsia" w:cs="Times New Roman" w:asciiTheme="minorEastAsia" w:hAnsiTheme="minorEastAsia"/>
          <w:kern w:val="0"/>
          <w:sz w:val="24"/>
          <w:szCs w:val="24"/>
        </w:rPr>
        <w:t>认真，理解，沟通，诚信</w:t>
      </w:r>
      <w:r>
        <w:rPr>
          <w:rFonts w:cs="Times New Roman" w:asciiTheme="minorEastAsia" w:hAnsiTheme="minorEastAsia"/>
          <w:kern w:val="0"/>
          <w:sz w:val="24"/>
          <w:szCs w:val="24"/>
        </w:rPr>
        <w:t>”的经营理念，坚持“</w:t>
      </w:r>
      <w:r>
        <w:rPr>
          <w:rFonts w:hint="eastAsia" w:cs="Times New Roman" w:asciiTheme="minorEastAsia" w:hAnsiTheme="minorEastAsia"/>
          <w:kern w:val="0"/>
          <w:sz w:val="24"/>
          <w:szCs w:val="24"/>
        </w:rPr>
        <w:t>精心、精益、精确、精品</w:t>
      </w:r>
      <w:r>
        <w:rPr>
          <w:rFonts w:cs="Times New Roman" w:asciiTheme="minorEastAsia" w:hAnsiTheme="minorEastAsia"/>
          <w:kern w:val="0"/>
          <w:sz w:val="24"/>
          <w:szCs w:val="24"/>
        </w:rPr>
        <w:t>”企业</w:t>
      </w:r>
      <w:r>
        <w:rPr>
          <w:rFonts w:hint="eastAsia" w:cs="Times New Roman" w:asciiTheme="minorEastAsia" w:hAnsiTheme="minorEastAsia"/>
          <w:kern w:val="0"/>
          <w:sz w:val="24"/>
          <w:szCs w:val="24"/>
        </w:rPr>
        <w:t>核心价值</w:t>
      </w:r>
      <w:r>
        <w:rPr>
          <w:rFonts w:cs="Times New Roman" w:asciiTheme="minorEastAsia" w:hAnsiTheme="minorEastAsia"/>
          <w:kern w:val="0"/>
          <w:sz w:val="24"/>
          <w:szCs w:val="24"/>
        </w:rPr>
        <w:t>，不断为用户提供</w:t>
      </w:r>
      <w:r>
        <w:rPr>
          <w:rFonts w:hint="eastAsia" w:cs="Times New Roman" w:asciiTheme="minorEastAsia" w:hAnsiTheme="minorEastAsia"/>
          <w:kern w:val="0"/>
          <w:sz w:val="24"/>
          <w:szCs w:val="24"/>
        </w:rPr>
        <w:t>安全</w:t>
      </w:r>
      <w:r>
        <w:rPr>
          <w:rFonts w:cs="Times New Roman" w:asciiTheme="minorEastAsia" w:hAnsiTheme="minorEastAsia"/>
          <w:kern w:val="0"/>
          <w:sz w:val="24"/>
          <w:szCs w:val="24"/>
        </w:rPr>
        <w:t>、环保、丰富、可靠的优质产品。</w:t>
      </w:r>
    </w:p>
    <w:p w14:paraId="7838800A">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自创立以来，得到了各级领导和社会各界朋友的关心和帮助，得到了各位经销代理商和供应商朋友的可贵支持，在此，我谨代表公司全体员工向关心和支持过我们公司发展的各位领导、各界朋友和全体新老客户表示最诚挚的谢意！</w:t>
      </w:r>
    </w:p>
    <w:p w14:paraId="7AB18DEF">
      <w:pPr>
        <w:spacing w:line="360" w:lineRule="auto"/>
        <w:ind w:firstLine="480" w:firstLineChars="200"/>
        <w:outlineLvl w:val="1"/>
        <w:rPr>
          <w:rFonts w:cs="Times New Roman" w:asciiTheme="minorEastAsia" w:hAnsiTheme="minorEastAsia"/>
          <w:kern w:val="0"/>
          <w:sz w:val="24"/>
          <w:szCs w:val="24"/>
        </w:rPr>
      </w:pPr>
      <w:r>
        <w:rPr>
          <w:rFonts w:cs="Times New Roman" w:asciiTheme="minorEastAsia" w:hAnsiTheme="minorEastAsia"/>
          <w:kern w:val="0"/>
          <w:sz w:val="24"/>
          <w:szCs w:val="24"/>
        </w:rPr>
        <w:br w:type="page"/>
      </w:r>
      <w:bookmarkStart w:id="5" w:name="_Toc451594565"/>
      <w:bookmarkStart w:id="6" w:name="_Toc13647"/>
      <w:bookmarkStart w:id="7" w:name="_Toc515451667"/>
      <w:bookmarkStart w:id="8" w:name="_Toc451594566"/>
      <w:r>
        <w:rPr>
          <w:rFonts w:hint="eastAsia" w:cs="Times New Roman" w:asciiTheme="minorEastAsia" w:hAnsiTheme="minorEastAsia"/>
          <w:kern w:val="0"/>
          <w:sz w:val="24"/>
          <w:szCs w:val="24"/>
        </w:rPr>
        <w:t>（三）公司简介</w:t>
      </w:r>
      <w:bookmarkEnd w:id="5"/>
      <w:bookmarkEnd w:id="6"/>
      <w:bookmarkEnd w:id="7"/>
    </w:p>
    <w:bookmarkEnd w:id="8"/>
    <w:p w14:paraId="58EC7ECA">
      <w:pPr>
        <w:spacing w:line="360" w:lineRule="auto"/>
        <w:ind w:firstLine="480" w:firstLineChars="200"/>
        <w:rPr>
          <w:rFonts w:cs="Times New Roman" w:asciiTheme="minorEastAsia" w:hAnsiTheme="minorEastAsia"/>
          <w:kern w:val="0"/>
          <w:sz w:val="24"/>
          <w:szCs w:val="24"/>
        </w:rPr>
      </w:pPr>
      <w:bookmarkStart w:id="9" w:name="_Toc451594567"/>
      <w:bookmarkStart w:id="10" w:name="_Toc515451669"/>
      <w:r>
        <w:rPr>
          <w:rFonts w:hint="eastAsia" w:cs="Times New Roman" w:asciiTheme="minorEastAsia" w:hAnsiTheme="minorEastAsia"/>
          <w:kern w:val="0"/>
          <w:sz w:val="24"/>
          <w:szCs w:val="24"/>
        </w:rPr>
        <w:t>浙江浦江圣力工贸有限公司（挂牌代码：801971），坐落在浦江经济开发区星碧大道6-8号。占地面积30亩，建筑面积23250平方米，注册资金600万元，法人宣黎建。是浦江经济开发区规上企业。</w:t>
      </w:r>
    </w:p>
    <w:p w14:paraId="7B2AF1D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现有员工150多人，其中管理、科研人员25人。有先进生产线30条，年产200台圣力科装全自动锁具装配机；100台圣力科装全自动内装锁舌机；1500万把各类锁具；500万只高档滑轮。公司有冲压机、剪板机、数控机床、加工中心、自动装配机、精抛机、锯力煌、油压机、真空涂膜机、线切割等上百种设备。产品60%以上自营出口，销往东南亚、南美、中东、东欧等五十多个国家和地区。历年参加德国科隆五金展、美国五金展、广交会、上海五金展、义博会等都取得了较好的效果。</w:t>
      </w:r>
    </w:p>
    <w:p w14:paraId="05B93019">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已通过ISO9001:2015质量管理体系认证、知识产权贯标、清洁生产、安评、环评，注册“圣力”“山环”“华山”等国内商标12个、境外商标4个，累计拥有发明专利2个、实用新型专利49个、外观专利4个；现有高级工程师1名、高级技师4名、工程师6名、助工5名、技工32名，人才梯队完备，其中宣黎建先后获评浦江县第九批拔尖人才、首届“浦江工匠”称号、直评为创新型工程师、金华市技能之星、浦江县劳动模范、“浙江工匠”，并入选新时代“百工之乡八婺金匠”培育工程第一层次“八婺大金匠”培养项目等多种荣誉称号，宣喜建、盛国强也于2024年4月同时入选该培育工程第三层次“八婺金匠”培养项目，核心人才优势突出。</w:t>
      </w:r>
    </w:p>
    <w:p w14:paraId="3538460A">
      <w:pPr>
        <w:spacing w:line="360" w:lineRule="auto"/>
        <w:ind w:firstLine="480"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公司自主研发的圣力科装全自动锁具装配机和全自动内装锁舌机，经国家一级资质单位查新认定技术水平达国内领先，先后获评2018年、2020年度浙江省装备制造业重点领域首台（套）产品，并斩获国家级第一届、第二届中国锁具及装备设计大赛“金勾奖”“金勾至尊奖”。</w:t>
      </w:r>
    </w:p>
    <w:p w14:paraId="05AF68E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在工业新产品研发领域，公司成果持续落地：2020年《双头双工位倒角机》《圣力牌钢球挂锁（祥云图案）》《全自动双头抛光机》三项省工业新产品顺利通过验收；2021年《圣力科装自动锁具检验机》、2022年《高速金属圆锯机》、2023年《圣力科装全自动商标锁梁组装机》相继完成省工业新产品验收；2025年研发的《一体防水外壳结构的高安全性智能挂锁》也成功通过省工业新产品认定，技术创新能力稳步提升。</w:t>
      </w:r>
    </w:p>
    <w:p w14:paraId="55995ACC">
      <w:pPr>
        <w:spacing w:line="360" w:lineRule="auto"/>
        <w:ind w:firstLine="480" w:firstLineChars="200"/>
        <w:outlineLvl w:val="0"/>
        <w:rPr>
          <w:rFonts w:hint="eastAsia" w:cs="Times New Roman" w:asciiTheme="minorEastAsia" w:hAnsiTheme="minorEastAsia"/>
          <w:kern w:val="0"/>
          <w:sz w:val="24"/>
          <w:szCs w:val="24"/>
        </w:rPr>
      </w:pPr>
      <w:bookmarkStart w:id="11" w:name="_Toc8329"/>
      <w:r>
        <w:rPr>
          <w:rFonts w:hint="eastAsia" w:cs="Times New Roman" w:asciiTheme="minorEastAsia" w:hAnsiTheme="minorEastAsia"/>
          <w:kern w:val="0"/>
          <w:sz w:val="24"/>
          <w:szCs w:val="24"/>
        </w:rPr>
        <w:t xml:space="preserve">公司是国家高新技术企业；省 AAA 级“守合同重信用”企业；省高成长科技型中小企业；省挂锁行业协会副会长单位；市创新型企业；市专利示范企业；市第四批机器换人示范企业；2024年度金华市清廉民营企业建设典型。“圣力牌”产品被授予“中国著名品牌”“浙江五金名品”荣誉。 </w:t>
      </w:r>
    </w:p>
    <w:p w14:paraId="1668F37D">
      <w:pPr>
        <w:spacing w:line="360" w:lineRule="auto"/>
        <w:ind w:firstLine="480" w:firstLineChars="200"/>
        <w:outlineLvl w:val="0"/>
        <w:rPr>
          <w:rFonts w:cs="Times New Roman" w:asciiTheme="minorEastAsia" w:hAnsiTheme="minorEastAsia"/>
          <w:kern w:val="0"/>
          <w:sz w:val="24"/>
          <w:szCs w:val="24"/>
        </w:rPr>
      </w:pPr>
      <w:r>
        <w:rPr>
          <w:rFonts w:hint="eastAsia" w:cs="Times New Roman" w:asciiTheme="minorEastAsia" w:hAnsiTheme="minorEastAsia"/>
          <w:kern w:val="0"/>
          <w:sz w:val="24"/>
          <w:szCs w:val="24"/>
        </w:rPr>
        <w:t>二、企业质量管理</w:t>
      </w:r>
      <w:bookmarkEnd w:id="9"/>
      <w:bookmarkEnd w:id="10"/>
      <w:bookmarkEnd w:id="11"/>
    </w:p>
    <w:p w14:paraId="748D07D9">
      <w:pPr>
        <w:spacing w:line="360" w:lineRule="auto"/>
        <w:ind w:firstLine="480" w:firstLineChars="200"/>
        <w:outlineLvl w:val="1"/>
        <w:rPr>
          <w:rFonts w:cs="Times New Roman" w:asciiTheme="minorEastAsia" w:hAnsiTheme="minorEastAsia"/>
          <w:kern w:val="0"/>
          <w:sz w:val="24"/>
          <w:szCs w:val="24"/>
        </w:rPr>
      </w:pPr>
      <w:bookmarkStart w:id="12" w:name="_Toc515451668"/>
      <w:bookmarkStart w:id="13" w:name="_Toc28792"/>
      <w:r>
        <w:rPr>
          <w:rFonts w:hint="eastAsia" w:cs="Times New Roman" w:asciiTheme="minorEastAsia" w:hAnsiTheme="minorEastAsia"/>
          <w:kern w:val="0"/>
          <w:sz w:val="24"/>
          <w:szCs w:val="24"/>
        </w:rPr>
        <w:t>（一）企业质量理念</w:t>
      </w:r>
      <w:bookmarkEnd w:id="12"/>
      <w:bookmarkEnd w:id="13"/>
    </w:p>
    <w:p w14:paraId="13598B5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公司成立之初，便致力于打造高质量产品，将产品质量视为企业生存和发展的重要基石，</w:t>
      </w:r>
      <w:r>
        <w:rPr>
          <w:rFonts w:cs="Times New Roman" w:asciiTheme="minorEastAsia" w:hAnsiTheme="minorEastAsia"/>
          <w:kern w:val="0"/>
          <w:sz w:val="24"/>
          <w:szCs w:val="24"/>
        </w:rPr>
        <w:t>公司</w:t>
      </w:r>
      <w:r>
        <w:rPr>
          <w:rFonts w:hint="eastAsia" w:cs="Times New Roman" w:asciiTheme="minorEastAsia" w:hAnsiTheme="minorEastAsia"/>
          <w:kern w:val="0"/>
          <w:sz w:val="24"/>
          <w:szCs w:val="24"/>
        </w:rPr>
        <w:t>先后通过了</w:t>
      </w:r>
      <w:r>
        <w:rPr>
          <w:rFonts w:cs="Times New Roman" w:asciiTheme="minorEastAsia" w:hAnsiTheme="minorEastAsia"/>
          <w:kern w:val="0"/>
          <w:sz w:val="24"/>
          <w:szCs w:val="24"/>
        </w:rPr>
        <w:t>ISO9001</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ISO14001</w:t>
      </w:r>
      <w:r>
        <w:rPr>
          <w:rFonts w:hint="eastAsia" w:cs="Times New Roman" w:asciiTheme="minorEastAsia" w:hAnsiTheme="minorEastAsia"/>
          <w:kern w:val="0"/>
          <w:sz w:val="24"/>
          <w:szCs w:val="24"/>
        </w:rPr>
        <w:t>和</w:t>
      </w:r>
      <w:r>
        <w:rPr>
          <w:rFonts w:cs="Times New Roman" w:asciiTheme="minorEastAsia" w:hAnsiTheme="minorEastAsia"/>
          <w:kern w:val="0"/>
          <w:sz w:val="24"/>
          <w:szCs w:val="24"/>
        </w:rPr>
        <w:t>ISO45001</w:t>
      </w:r>
      <w:r>
        <w:rPr>
          <w:rFonts w:hint="eastAsia" w:cs="Times New Roman" w:asciiTheme="minorEastAsia" w:hAnsiTheme="minorEastAsia"/>
          <w:kern w:val="0"/>
          <w:sz w:val="24"/>
          <w:szCs w:val="24"/>
        </w:rPr>
        <w:t>管理体系的认证，产品实物质量达到国际领先水平。圣力的质量理念是“以客为本，以质求存；以优取胜，以精图新”。</w:t>
      </w:r>
    </w:p>
    <w:p w14:paraId="5BA3354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w:t>
      </w:r>
      <w:r>
        <w:rPr>
          <w:rFonts w:cs="Times New Roman" w:asciiTheme="minorEastAsia" w:hAnsiTheme="minorEastAsia"/>
          <w:kern w:val="0"/>
          <w:sz w:val="24"/>
          <w:szCs w:val="24"/>
        </w:rPr>
        <w:t>严格按该国际质量管理体系执行，使企业产品的质量得到有力的保障，从而使企业的质量方针得以顺利推行。</w:t>
      </w:r>
      <w:r>
        <w:rPr>
          <w:rFonts w:hint="eastAsia" w:cs="Times New Roman" w:asciiTheme="minorEastAsia" w:hAnsiTheme="minorEastAsia"/>
          <w:kern w:val="0"/>
          <w:sz w:val="24"/>
          <w:szCs w:val="24"/>
        </w:rPr>
        <w:t>为从根本上加强质量管理，提高公司经营质量，公司更以卓越绩效模式的导入为契机，推行全面质量管理，运用FMEA、SPC等质量统计工具，通过内部审核、自我评价、第三方审核或评价、QCC品管圈活动，不断寻找改进机会和持续改进的方式，迈向卓越的绩效。</w:t>
      </w:r>
      <w:r>
        <w:rPr>
          <w:rFonts w:cs="Times New Roman" w:asciiTheme="minorEastAsia" w:hAnsiTheme="minorEastAsia"/>
          <w:kern w:val="0"/>
          <w:sz w:val="24"/>
          <w:szCs w:val="24"/>
        </w:rPr>
        <w:t>自建厂以来，公司从未出现过重大质量投诉，在历年接受各级质量技术部门的抽检中，合格率均达100%。</w:t>
      </w:r>
    </w:p>
    <w:p w14:paraId="48B97AE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公司通过会议、宣传栏、企业网站、微信公众号对企业文化、质量理念进行宣传。</w:t>
      </w:r>
    </w:p>
    <w:p w14:paraId="71238500">
      <w:pPr>
        <w:spacing w:line="360" w:lineRule="auto"/>
        <w:ind w:firstLine="480" w:firstLineChars="200"/>
        <w:outlineLvl w:val="1"/>
        <w:rPr>
          <w:rFonts w:cs="Times New Roman" w:asciiTheme="minorEastAsia" w:hAnsiTheme="minorEastAsia"/>
          <w:kern w:val="0"/>
          <w:sz w:val="24"/>
          <w:szCs w:val="24"/>
        </w:rPr>
      </w:pPr>
      <w:bookmarkStart w:id="14" w:name="_Toc515451670"/>
      <w:bookmarkStart w:id="15" w:name="_Toc9290"/>
      <w:r>
        <w:rPr>
          <w:rFonts w:hint="eastAsia" w:cs="Times New Roman" w:asciiTheme="minorEastAsia" w:hAnsiTheme="minorEastAsia"/>
          <w:kern w:val="0"/>
          <w:sz w:val="24"/>
          <w:szCs w:val="24"/>
        </w:rPr>
        <w:t>（二）质量管理机构</w:t>
      </w:r>
      <w:bookmarkEnd w:id="14"/>
      <w:bookmarkEnd w:id="15"/>
    </w:p>
    <w:p w14:paraId="462D3B0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公司遵循质量管理“三不原则”：不接受不合格品、不制造不合格品，不流出不合格品。本着对产品质量的高度重视，公司建立质量负责人制度，制定了各料件、部件、产品的检验标准，并各司其职、相互沟通配合，从研发、采购、生产等各过程，加强产品质量把控。</w:t>
      </w:r>
      <w:bookmarkStart w:id="16" w:name="_Toc515451671"/>
    </w:p>
    <w:p w14:paraId="7AF6D80F">
      <w:pPr>
        <w:spacing w:line="360" w:lineRule="auto"/>
        <w:ind w:firstLine="480" w:firstLineChars="200"/>
        <w:jc w:val="center"/>
        <w:rPr>
          <w:rFonts w:hint="eastAsia" w:cs="Times New Roman" w:asciiTheme="minorEastAsia" w:hAnsiTheme="minorEastAsia"/>
          <w:kern w:val="0"/>
          <w:sz w:val="24"/>
          <w:szCs w:val="24"/>
        </w:rPr>
      </w:pPr>
    </w:p>
    <w:p w14:paraId="7EB70B8E">
      <w:pPr>
        <w:spacing w:line="360" w:lineRule="auto"/>
        <w:ind w:firstLine="480" w:firstLineChars="200"/>
        <w:jc w:val="center"/>
        <w:rPr>
          <w:rFonts w:hint="eastAsia" w:cs="Times New Roman" w:asciiTheme="minorEastAsia" w:hAnsiTheme="minorEastAsia"/>
          <w:kern w:val="0"/>
          <w:sz w:val="24"/>
          <w:szCs w:val="24"/>
        </w:rPr>
      </w:pPr>
    </w:p>
    <w:p w14:paraId="63041CBF">
      <w:pPr>
        <w:spacing w:line="360" w:lineRule="auto"/>
        <w:ind w:firstLine="480" w:firstLineChars="200"/>
        <w:jc w:val="center"/>
        <w:rPr>
          <w:rFonts w:hint="eastAsia" w:cs="Times New Roman" w:asciiTheme="minorEastAsia" w:hAnsiTheme="minorEastAsia"/>
          <w:kern w:val="0"/>
          <w:sz w:val="24"/>
          <w:szCs w:val="24"/>
        </w:rPr>
      </w:pPr>
    </w:p>
    <w:p w14:paraId="1E1C2F49">
      <w:pPr>
        <w:spacing w:line="360" w:lineRule="auto"/>
        <w:ind w:firstLine="480" w:firstLineChars="200"/>
        <w:jc w:val="center"/>
        <w:rPr>
          <w:rFonts w:hint="eastAsia" w:cs="Times New Roman" w:asciiTheme="minorEastAsia" w:hAnsiTheme="minorEastAsia"/>
          <w:kern w:val="0"/>
          <w:sz w:val="24"/>
          <w:szCs w:val="24"/>
        </w:rPr>
      </w:pPr>
    </w:p>
    <w:p w14:paraId="1A7EDACE">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图1：质量、环境、职业健康安全管理体系组织架构图</w:t>
      </w:r>
    </w:p>
    <w:p w14:paraId="1B769C06">
      <w:pPr>
        <w:spacing w:line="360" w:lineRule="auto"/>
        <w:rPr>
          <w:rFonts w:cs="Times New Roman" w:asciiTheme="minorEastAsia" w:hAnsiTheme="minorEastAsia"/>
          <w:kern w:val="0"/>
          <w:sz w:val="24"/>
          <w:szCs w:val="24"/>
        </w:rPr>
      </w:pPr>
      <w:r>
        <w:drawing>
          <wp:inline distT="0" distB="0" distL="0" distR="0">
            <wp:extent cx="5274310" cy="2520950"/>
            <wp:effectExtent l="0" t="0" r="2540" b="0"/>
            <wp:docPr id="37981" name="图片 3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1" name="图片 37981"/>
                    <pic:cNvPicPr>
                      <a:picLocks noChangeAspect="1"/>
                    </pic:cNvPicPr>
                  </pic:nvPicPr>
                  <pic:blipFill>
                    <a:blip r:embed="rId6"/>
                    <a:stretch>
                      <a:fillRect/>
                    </a:stretch>
                  </pic:blipFill>
                  <pic:spPr>
                    <a:xfrm>
                      <a:off x="0" y="0"/>
                      <a:ext cx="5274310" cy="2520950"/>
                    </a:xfrm>
                    <a:prstGeom prst="rect">
                      <a:avLst/>
                    </a:prstGeom>
                  </pic:spPr>
                </pic:pic>
              </a:graphicData>
            </a:graphic>
          </wp:inline>
        </w:drawing>
      </w:r>
    </w:p>
    <w:p w14:paraId="6DEBCF26">
      <w:pPr>
        <w:spacing w:line="360" w:lineRule="auto"/>
        <w:ind w:firstLine="480" w:firstLineChars="200"/>
        <w:outlineLvl w:val="1"/>
        <w:rPr>
          <w:rFonts w:cs="Times New Roman" w:asciiTheme="minorEastAsia" w:hAnsiTheme="minorEastAsia"/>
          <w:kern w:val="0"/>
          <w:sz w:val="24"/>
          <w:szCs w:val="24"/>
        </w:rPr>
      </w:pPr>
      <w:bookmarkStart w:id="17" w:name="_Toc21673"/>
      <w:r>
        <w:rPr>
          <w:rFonts w:hint="eastAsia" w:cs="Times New Roman" w:asciiTheme="minorEastAsia" w:hAnsiTheme="minorEastAsia"/>
          <w:kern w:val="0"/>
          <w:sz w:val="24"/>
          <w:szCs w:val="24"/>
        </w:rPr>
        <w:t>（三）质量管理体系</w:t>
      </w:r>
      <w:bookmarkEnd w:id="16"/>
      <w:bookmarkEnd w:id="17"/>
    </w:p>
    <w:p w14:paraId="42612BFD">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公司自引入ISO9001质量管理体系以来，“科学规范、公正严谨、预防污染、安全第一、持续改进、诚信服务”为质量方针，围绕挂锁的设计、开发生产和销售过程，按GB/T 19001-2016《质量管理体系要求》建立质量管理体系，形成了质量手册、程序文件和其他质量文件等，加以实施和保持，并持续改进有效性。</w:t>
      </w:r>
    </w:p>
    <w:p w14:paraId="438FF168">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1、质量管理体系方针与目标</w:t>
      </w:r>
    </w:p>
    <w:p w14:paraId="1DEAA49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从导入ISO 9001质量管理体系，坚持产品质量的“安全可靠，持续改进”，到导入卓越绩效管理模式，推行全面质量管理，坚持“以品质提升价值、做一流的挂锁出口企业”，公司建立了以战略为核心，以GB/T 19580卓越绩效模式为框架的整合型全面质量管理体系，满足了顾客、股东、员工、供应商、社会和合作伙伴六大利益相关方的要求，在公司各层次建立了相应的战略规划、质量目标，并以公司绩效考核体系为依托，设立了质量考核KPI目标和质量问责制。</w:t>
      </w:r>
    </w:p>
    <w:p w14:paraId="26C1D3D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1.1质量方针：</w:t>
      </w:r>
    </w:p>
    <w:p w14:paraId="22CF030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科学规范、公正严谨、预防污染、安全第一、持续改进、诚信服务。</w:t>
      </w:r>
    </w:p>
    <w:p w14:paraId="0B1616C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质量方针理解：</w:t>
      </w:r>
    </w:p>
    <w:p w14:paraId="6B67928C">
      <w:pPr>
        <w:spacing w:line="360" w:lineRule="auto"/>
        <w:ind w:firstLine="480"/>
        <w:rPr>
          <w:sz w:val="24"/>
          <w:szCs w:val="32"/>
        </w:rPr>
      </w:pPr>
      <w:r>
        <w:rPr>
          <w:rFonts w:hint="eastAsia"/>
          <w:sz w:val="24"/>
          <w:szCs w:val="32"/>
        </w:rPr>
        <w:t>1、以顾客为关注焦点，实现对顾客的承诺。</w:t>
      </w:r>
    </w:p>
    <w:p w14:paraId="5F31DC3D">
      <w:pPr>
        <w:spacing w:line="360" w:lineRule="auto"/>
        <w:ind w:firstLine="480"/>
        <w:rPr>
          <w:sz w:val="24"/>
          <w:szCs w:val="32"/>
        </w:rPr>
      </w:pPr>
      <w:r>
        <w:rPr>
          <w:rFonts w:hint="eastAsia"/>
          <w:sz w:val="24"/>
          <w:szCs w:val="32"/>
        </w:rPr>
        <w:t>2、在工作中严格遵守国家和地方的有关的现行的法律、法规及其它要求。</w:t>
      </w:r>
    </w:p>
    <w:p w14:paraId="15692E39">
      <w:pPr>
        <w:spacing w:line="360" w:lineRule="auto"/>
        <w:ind w:firstLine="480"/>
        <w:rPr>
          <w:sz w:val="24"/>
          <w:szCs w:val="32"/>
        </w:rPr>
      </w:pPr>
      <w:r>
        <w:rPr>
          <w:rFonts w:hint="eastAsia"/>
          <w:sz w:val="24"/>
          <w:szCs w:val="32"/>
        </w:rPr>
        <w:t>3、教育和激励员工以对质量、环境、职业健康安全负责的态度和方法来工作，逐步提高全体员工的质量、环境保护及职业健康安全意识和能力。</w:t>
      </w:r>
    </w:p>
    <w:p w14:paraId="3B15101D">
      <w:pPr>
        <w:spacing w:line="360" w:lineRule="auto"/>
        <w:ind w:firstLine="480"/>
        <w:rPr>
          <w:sz w:val="24"/>
          <w:szCs w:val="32"/>
        </w:rPr>
      </w:pPr>
      <w:r>
        <w:rPr>
          <w:rFonts w:hint="eastAsia"/>
          <w:sz w:val="24"/>
          <w:szCs w:val="32"/>
        </w:rPr>
        <w:t>4、建立质量环境职业健康安全管理体系，对公司全体员工提出要求，强化污染预防、持续改进。</w:t>
      </w:r>
    </w:p>
    <w:p w14:paraId="57FF61AE">
      <w:pPr>
        <w:spacing w:line="360" w:lineRule="auto"/>
        <w:ind w:firstLine="480"/>
        <w:rPr>
          <w:sz w:val="24"/>
          <w:szCs w:val="32"/>
        </w:rPr>
      </w:pPr>
      <w:r>
        <w:rPr>
          <w:rFonts w:hint="eastAsia"/>
          <w:sz w:val="24"/>
          <w:szCs w:val="32"/>
        </w:rPr>
        <w:t>5、节约能源，控制污染物的排放，不断地的改善环境贯穿于生产全过程，努力实现资源充分利用和消耗最低化。</w:t>
      </w:r>
    </w:p>
    <w:p w14:paraId="7C5DDEF9">
      <w:pPr>
        <w:spacing w:line="360" w:lineRule="auto"/>
        <w:ind w:firstLine="480"/>
        <w:rPr>
          <w:sz w:val="24"/>
          <w:szCs w:val="32"/>
        </w:rPr>
      </w:pPr>
      <w:r>
        <w:rPr>
          <w:rFonts w:hint="eastAsia"/>
          <w:sz w:val="24"/>
          <w:szCs w:val="32"/>
        </w:rPr>
        <w:t>6、采用有利于环境、职业健康安全保护的技术和管理，预防、消除、减少并妥善处理不良的环境及职业健康安全卫生的影响；</w:t>
      </w:r>
    </w:p>
    <w:p w14:paraId="32352F94">
      <w:pPr>
        <w:spacing w:line="360" w:lineRule="auto"/>
        <w:ind w:firstLine="480"/>
        <w:rPr>
          <w:sz w:val="24"/>
          <w:szCs w:val="32"/>
        </w:rPr>
      </w:pPr>
      <w:r>
        <w:rPr>
          <w:rFonts w:hint="eastAsia"/>
          <w:sz w:val="24"/>
          <w:szCs w:val="32"/>
        </w:rPr>
        <w:t>7、为员工、相关方提供职业健康安全保障及要求。</w:t>
      </w:r>
    </w:p>
    <w:p w14:paraId="6A4081E8">
      <w:pPr>
        <w:spacing w:line="360" w:lineRule="auto"/>
        <w:ind w:firstLine="480"/>
        <w:rPr>
          <w:sz w:val="24"/>
          <w:szCs w:val="32"/>
        </w:rPr>
      </w:pPr>
      <w:r>
        <w:rPr>
          <w:rFonts w:hint="eastAsia"/>
          <w:sz w:val="24"/>
          <w:szCs w:val="32"/>
        </w:rPr>
        <w:t>8、通过维护作业安全体系和对可预见的紧急状况，制定应付对策，来降低已知危险过程带来的伤害可能。</w:t>
      </w:r>
    </w:p>
    <w:p w14:paraId="637DC8D9">
      <w:pPr>
        <w:spacing w:line="360" w:lineRule="auto"/>
        <w:ind w:firstLine="480"/>
        <w:rPr>
          <w:sz w:val="24"/>
          <w:szCs w:val="32"/>
        </w:rPr>
      </w:pPr>
      <w:r>
        <w:rPr>
          <w:rFonts w:hint="eastAsia"/>
          <w:sz w:val="24"/>
          <w:szCs w:val="32"/>
        </w:rPr>
        <w:t>9、不断监测和定期评审，采取改进措施，实现质量环境绩效和职业健康安全绩效的持续改进。</w:t>
      </w:r>
    </w:p>
    <w:p w14:paraId="1E7071F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质量诚信方针 ：</w:t>
      </w:r>
    </w:p>
    <w:p w14:paraId="0E590A2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创新设计、精细制造、一流服务、做一流的挂锁企业</w:t>
      </w:r>
    </w:p>
    <w:p w14:paraId="713E82BA">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2、质量教育</w:t>
      </w:r>
    </w:p>
    <w:p w14:paraId="50D38CC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在体系运行过程中，公司运用各种科学、有效的方法，测量、分析、改进，基于PDCA的系统方法，不断持续改善。公司运用多种工具，持续改进各部门、各层次的绩效，并采用标杆对比和学习的方式，不断修正个人工作思路和方式，确保实现个人和公司整体目标。公司积极与外部进行沟通交流，适时邀请专家对公司员工进行专项培训。公司定期对各级员工开展质量教育，对质量控制点进行专项管理，确保制造过程产品质量的一致性。</w:t>
      </w:r>
    </w:p>
    <w:p w14:paraId="73AC116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为牢固树立全体员工的诚信意识，公司每年年初制定本年度的教育培训计划。各部门负责人根据公司要求，编制教育培训计划和内容，认真组织下属的教育培训。各车间主任负责班组长及员工的诚信宣传教育工作。公司通过专题培训、书面文字进行张贴或传达、质量诚信先进员工经验交流、利用图片展示等多种方式对企业员工实施质量诚信教育。</w:t>
      </w:r>
    </w:p>
    <w:p w14:paraId="2E9B835A">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3、质量法规及责任制度</w:t>
      </w:r>
    </w:p>
    <w:p w14:paraId="0417188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收集法律法规及其它标准、要求，制定内部相关标准，使产品达到国家法律法规和国家、行业标准的要求（部分指标超过外部要求），从产品技术上践行社会责任。同时，公司制定了《年度质量管理目标》《年度环境、职业健康安全管理目标》，对产品质量控制明确责任，遵循对质量事故不放过原则。</w:t>
      </w:r>
    </w:p>
    <w:p w14:paraId="3E4E3EC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公司编制《合规评价控制程序》，积极识别收集法律、法规、行业与产品标准、定期对期合规性进行评价，以满足法律、法规以及客户的要求与期望。</w:t>
      </w:r>
    </w:p>
    <w:p w14:paraId="06341F0D">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表1：公司所遵守的质量标准和其他相关法律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88"/>
      </w:tblGrid>
      <w:tr w14:paraId="40F7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1276" w:type="dxa"/>
            <w:tcBorders>
              <w:bottom w:val="single" w:color="auto" w:sz="4" w:space="0"/>
            </w:tcBorders>
            <w:vAlign w:val="center"/>
          </w:tcPr>
          <w:p w14:paraId="25400D05">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类 别</w:t>
            </w:r>
          </w:p>
        </w:tc>
        <w:tc>
          <w:tcPr>
            <w:tcW w:w="7088" w:type="dxa"/>
            <w:tcBorders>
              <w:bottom w:val="single" w:color="auto" w:sz="4" w:space="0"/>
            </w:tcBorders>
            <w:vAlign w:val="center"/>
          </w:tcPr>
          <w:p w14:paraId="66B3B3A8">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内  容</w:t>
            </w:r>
          </w:p>
        </w:tc>
      </w:tr>
      <w:tr w14:paraId="03A5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76" w:type="dxa"/>
            <w:vAlign w:val="center"/>
          </w:tcPr>
          <w:p w14:paraId="56F358DB">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员工权益</w:t>
            </w:r>
          </w:p>
          <w:p w14:paraId="1334A41E">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社会责任</w:t>
            </w:r>
          </w:p>
        </w:tc>
        <w:tc>
          <w:tcPr>
            <w:tcW w:w="7088" w:type="dxa"/>
            <w:vAlign w:val="center"/>
          </w:tcPr>
          <w:p w14:paraId="14636C5B">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《劳动法》、《工会法》、《消费者权益保护法》、《环境保护法》、《安全生产法》、《职业病防治法》、ISO9001:20</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、ISO14001：20</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标准、ISO45001标准等</w:t>
            </w:r>
          </w:p>
        </w:tc>
      </w:tr>
      <w:tr w14:paraId="5516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76" w:type="dxa"/>
            <w:vAlign w:val="center"/>
          </w:tcPr>
          <w:p w14:paraId="568A29A6">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产品标准执行与制定</w:t>
            </w:r>
          </w:p>
        </w:tc>
        <w:tc>
          <w:tcPr>
            <w:tcW w:w="7088" w:type="dxa"/>
            <w:vAlign w:val="center"/>
          </w:tcPr>
          <w:p w14:paraId="29B94850">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 xml:space="preserve">T/ZZB </w:t>
            </w:r>
            <w:r>
              <w:rPr>
                <w:rFonts w:hint="eastAsia" w:cs="Times New Roman" w:asciiTheme="minorEastAsia" w:hAnsiTheme="minorEastAsia"/>
                <w:kern w:val="0"/>
                <w:sz w:val="24"/>
                <w:szCs w:val="24"/>
              </w:rPr>
              <w:t>0435—2018《金属挂锁》等。</w:t>
            </w:r>
          </w:p>
        </w:tc>
      </w:tr>
    </w:tbl>
    <w:p w14:paraId="11CD764D">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公司制定了《内部审核控制程序》、《管理评审控制程序》，并培养内审员团队，为确保体系运行的有效性和持续改进，安排了内审、过程审核和质量稽查。对于审核中发现的不符合项，由责任部门分析原因，制定纠正或预防措施，落实整改，并验证整改效果，最终形成内部审核报告，对体系的整改及不符合项的预防提出建议，并作为管理评审的一个重要输入，报告最高管理者。</w:t>
      </w:r>
    </w:p>
    <w:p w14:paraId="7EE9394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制定了《不合格品控制程序》对不合格品进行了严格管控。公司所有的产品都经过在线检查，合格后方可流入下道工序或出厂。任何不合格产品均有明确的标识、记录、隔离和处理等要求，各种不合格产品返工、返修后必须经过重新检验合格后才能进入下道工序。</w:t>
      </w:r>
    </w:p>
    <w:p w14:paraId="4E95A2B2">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此外，公司还制定了《管理手册》，《外部提供过程、产品和服务控制程序》、《人力资源控制程序》等制度，对出现的质量问题进行问责和教育，并在日常研发、生产作业中，强调系统化，通过品管圈、持续改善等活动及质量工具的展开，充分应用PDCA循环，持续改善，追求卓越。</w:t>
      </w:r>
    </w:p>
    <w:p w14:paraId="603FABD9">
      <w:pPr>
        <w:spacing w:line="360" w:lineRule="auto"/>
        <w:ind w:firstLine="480" w:firstLineChars="200"/>
        <w:outlineLvl w:val="1"/>
        <w:rPr>
          <w:rFonts w:cs="Times New Roman" w:asciiTheme="minorEastAsia" w:hAnsiTheme="minorEastAsia"/>
          <w:kern w:val="0"/>
          <w:sz w:val="24"/>
          <w:szCs w:val="24"/>
        </w:rPr>
      </w:pPr>
      <w:bookmarkStart w:id="18" w:name="_Toc515451673"/>
      <w:bookmarkStart w:id="19" w:name="_Toc451594568"/>
      <w:bookmarkStart w:id="20" w:name="_Toc31735"/>
      <w:r>
        <w:rPr>
          <w:rFonts w:hint="eastAsia" w:cs="Times New Roman" w:asciiTheme="minorEastAsia" w:hAnsiTheme="minorEastAsia"/>
          <w:kern w:val="0"/>
          <w:sz w:val="24"/>
          <w:szCs w:val="24"/>
        </w:rPr>
        <w:t>（四）质量诚信管理</w:t>
      </w:r>
      <w:bookmarkEnd w:id="18"/>
      <w:bookmarkEnd w:id="19"/>
      <w:bookmarkEnd w:id="20"/>
    </w:p>
    <w:p w14:paraId="34F68244">
      <w:pPr>
        <w:spacing w:line="360" w:lineRule="auto"/>
        <w:ind w:firstLine="480" w:firstLineChars="200"/>
        <w:outlineLvl w:val="2"/>
        <w:rPr>
          <w:rFonts w:cs="Times New Roman" w:asciiTheme="minorEastAsia" w:hAnsiTheme="minorEastAsia"/>
          <w:kern w:val="0"/>
          <w:sz w:val="24"/>
          <w:szCs w:val="24"/>
        </w:rPr>
      </w:pPr>
      <w:bookmarkStart w:id="21" w:name="_Toc515451674"/>
      <w:r>
        <w:rPr>
          <w:rFonts w:hint="eastAsia" w:cs="Times New Roman" w:asciiTheme="minorEastAsia" w:hAnsiTheme="minorEastAsia"/>
          <w:kern w:val="0"/>
          <w:sz w:val="24"/>
          <w:szCs w:val="24"/>
        </w:rPr>
        <w:t>1、质量承诺</w:t>
      </w:r>
      <w:bookmarkEnd w:id="21"/>
    </w:p>
    <w:p w14:paraId="105A8B3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a）诚信守法</w:t>
      </w:r>
    </w:p>
    <w:p w14:paraId="5D07B34B">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高层领导遵循“</w:t>
      </w:r>
      <w:r>
        <w:rPr>
          <w:rFonts w:hint="eastAsia" w:cs="Times New Roman" w:asciiTheme="minorEastAsia" w:hAnsiTheme="minorEastAsia"/>
          <w:kern w:val="0"/>
          <w:sz w:val="24"/>
          <w:szCs w:val="24"/>
        </w:rPr>
        <w:t>合作重于竞争</w:t>
      </w:r>
      <w:r>
        <w:rPr>
          <w:rFonts w:cs="Times New Roman" w:asciiTheme="minorEastAsia" w:hAnsiTheme="minorEastAsia"/>
          <w:kern w:val="0"/>
          <w:sz w:val="24"/>
          <w:szCs w:val="24"/>
        </w:rPr>
        <w:t>”的</w:t>
      </w:r>
      <w:r>
        <w:rPr>
          <w:rFonts w:hint="eastAsia" w:cs="Times New Roman" w:asciiTheme="minorEastAsia" w:hAnsiTheme="minorEastAsia"/>
          <w:kern w:val="0"/>
          <w:sz w:val="24"/>
          <w:szCs w:val="24"/>
        </w:rPr>
        <w:t>经营</w:t>
      </w:r>
      <w:r>
        <w:rPr>
          <w:rFonts w:cs="Times New Roman" w:asciiTheme="minorEastAsia" w:hAnsiTheme="minorEastAsia"/>
          <w:kern w:val="0"/>
          <w:sz w:val="24"/>
          <w:szCs w:val="24"/>
        </w:rPr>
        <w:t>理念，严格遵循《公司法》、《经济法》、《合同法》、《产品质量法》、《安全生产法》、《环保法》、《劳动法》以及机械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14:paraId="4C9D612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b）满足客户需求</w:t>
      </w:r>
    </w:p>
    <w:p w14:paraId="0606C2D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高度重视技术研发，加强了研发力量的投入，以客户需求为中心，积极听取客户关于功能、质量、配置等方面的意见和建议，开展产品改进和创新活动，满足客户对产品和交期的需求。在产品质量方面，公司严格执行ISO9001质量管理体系，通过开展技术攻关、质量改进、QCC小组等活动，保障产品质量安全。</w:t>
      </w:r>
    </w:p>
    <w:p w14:paraId="2611F2F7">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2、质量管理</w:t>
      </w:r>
    </w:p>
    <w:p w14:paraId="10ED2C8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--产品检测</w:t>
      </w:r>
    </w:p>
    <w:p w14:paraId="68D7BE4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产品质量的跟踪</w:t>
      </w:r>
    </w:p>
    <w:p w14:paraId="12E6407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设计、生产中均进行评估，改进存在的风险和缺陷；</w:t>
      </w:r>
    </w:p>
    <w:p w14:paraId="53AABDA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交付前进行测试，记录测试结果；</w:t>
      </w:r>
    </w:p>
    <w:p w14:paraId="56ED0F4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交付后跟踪客户对产品质量的反馈信息；</w:t>
      </w:r>
    </w:p>
    <w:p w14:paraId="0CCF2E1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④定期对产品开展全项目检验；</w:t>
      </w:r>
    </w:p>
    <w:p w14:paraId="1743086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⑤在顾客满意度调查问卷中进行产品质量调查。</w:t>
      </w:r>
    </w:p>
    <w:p w14:paraId="729FE19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（2）服务质量的跟踪</w:t>
      </w:r>
    </w:p>
    <w:p w14:paraId="1D554C8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①登记顾客需求信息，服务后进行回访，跟踪服务有效性；</w:t>
      </w:r>
    </w:p>
    <w:p w14:paraId="4EEDDCD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②收集分析服务质量信息，对服务质量进行改进；</w:t>
      </w:r>
    </w:p>
    <w:p w14:paraId="60F6ABD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③在顾客满意度调查问卷中进行服务质量调查。</w:t>
      </w:r>
    </w:p>
    <w:p w14:paraId="528333B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--质量追溯</w:t>
      </w:r>
    </w:p>
    <w:p w14:paraId="6BF1D69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公司每年组织进行管理评审会议，评审质量、环境、职业健康安全等管理体系的适宜性、充分性和有效性，达到持续不断完善管理体系，确保公司体系方针和目标的实现，满足相关方要求。</w:t>
      </w:r>
    </w:p>
    <w:p w14:paraId="4408CA7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--质量分析</w:t>
      </w:r>
    </w:p>
    <w:p w14:paraId="0D5C77F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公司通过统计口径、财务报表、专题会议等多种渠道全面收集、整理和测量产品质量的数据和信息，并对数据和信息进行分析，制定相应的改进措施。</w:t>
      </w:r>
    </w:p>
    <w:p w14:paraId="73441EF3">
      <w:pPr>
        <w:spacing w:line="360" w:lineRule="auto"/>
        <w:ind w:firstLine="480" w:firstLineChars="200"/>
        <w:outlineLvl w:val="2"/>
        <w:rPr>
          <w:rFonts w:cs="Times New Roman" w:asciiTheme="minorEastAsia" w:hAnsiTheme="minorEastAsia"/>
          <w:kern w:val="0"/>
          <w:sz w:val="24"/>
          <w:szCs w:val="24"/>
        </w:rPr>
      </w:pPr>
      <w:bookmarkStart w:id="22" w:name="_Toc515451675"/>
      <w:r>
        <w:rPr>
          <w:rFonts w:hint="eastAsia" w:cs="Times New Roman" w:asciiTheme="minorEastAsia" w:hAnsiTheme="minorEastAsia"/>
          <w:kern w:val="0"/>
          <w:sz w:val="24"/>
          <w:szCs w:val="24"/>
        </w:rPr>
        <w:t>3、运作管理</w:t>
      </w:r>
      <w:bookmarkEnd w:id="22"/>
    </w:p>
    <w:p w14:paraId="3AFC34A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a）产品设计诚信管理</w:t>
      </w:r>
    </w:p>
    <w:p w14:paraId="2D5C7A1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公司产品设计与研发严格依照《设计开发管理程序》从研发立项、过程各类活动记录、研发过程总结、管理考评控制研发相关的整个过程。</w:t>
      </w:r>
    </w:p>
    <w:p w14:paraId="15875C5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b）原材料采购诚信管理</w:t>
      </w:r>
    </w:p>
    <w:p w14:paraId="38158CD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企业根据物料对产品质量的风险程度，将物料分为A、B、C三类。对A类物料供应商，除了必须符合法定的资质外，还要定期进行现场审计。对B类物料的供应商，企业首先要对该种物料进行风险分析，视供应商提供物料的质量情况决定是否需进行现场审计。对C类物料的供应商，一般只考虑审计其资质。企业对物料供应商进行资质审核及现场审核后，如符合要求同意购进的物料供应商应当建立质量档案。对采购的原材料批批全检，凡未达到规定标准的原材料一律不得入库是使用。</w:t>
      </w:r>
    </w:p>
    <w:p w14:paraId="15E7FE7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在设备采购方面，对供应商的相关资质进行严格审查。在采购设备时，能够使用标准件的一律采购和使用标准件；需特殊加工的，需对使用效果进行充分验证，确保达到我公司要求。所有设备在使用前必须经过设备验证，确保符合产品工艺要求。</w:t>
      </w:r>
    </w:p>
    <w:p w14:paraId="67F4F5E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c）生产过程诚信管理</w:t>
      </w:r>
    </w:p>
    <w:p w14:paraId="1FBF9F0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生产部、品质部具体负责各品种生产管理与技术管理工作。制定并逐步完善了各种生产管理制度、工作标准、岗位操作规程和各类工艺规程、管理规程、标准操作规程。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14:paraId="28BC45C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对生产所需的原料、辅料、包装材料进行投料前复核，把好中间产品、成品的质量，严格执行对不合格品的“不生产、不接收、不流转”的“三不原则”，关键工序设质量控制点，督促员工做好自检、互检，专检规程，严格批记录的管理规程，做到领用、发放和核对相统一。对每一生产步骤进行物料平衡，保证物料的投入和产品的产出数量与工艺要求相一致，确认无潜在质量隐患。</w:t>
      </w:r>
    </w:p>
    <w:p w14:paraId="79B5464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生产记录由生产部负责审核、印制和保管。员工操作必须按要求及时填写生产记录，做到字迹清晰、内容真实、数据完整，操作人及复核人签名确认。每批生产结束后，车间统计员把记录汇总、复核，及时上交生产部，经审核无误后，按批号整理归档，由专人管理。</w:t>
      </w:r>
    </w:p>
    <w:p w14:paraId="1AF36DDD">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公司根据行业特点及实际情况，加强生产过程的信息化建设水平，应用</w:t>
      </w:r>
      <w:r>
        <w:rPr>
          <w:rFonts w:cs="Times New Roman" w:asciiTheme="minorEastAsia" w:hAnsiTheme="minorEastAsia"/>
          <w:kern w:val="0"/>
          <w:sz w:val="24"/>
          <w:szCs w:val="24"/>
        </w:rPr>
        <w:t>ERP</w:t>
      </w:r>
      <w:r>
        <w:rPr>
          <w:rFonts w:hint="eastAsia" w:cs="Times New Roman" w:asciiTheme="minorEastAsia" w:hAnsiTheme="minorEastAsia"/>
          <w:kern w:val="0"/>
          <w:sz w:val="24"/>
          <w:szCs w:val="24"/>
        </w:rPr>
        <w:t>系统的生产管理模块对整个过程进行数据采集和监控，对公司整个生产过程实行系统化管理，并挖掘内部潜力，发挥技术骨干人员的力量，开展对现有设备进行持续性改造或科技创新工作，对薄弱环节进行技术攻关；生产员工上岗前要经过培训及考核，建立全员培训档案，通过集中培训、班前会培训、“传、帮、带”、目视化等多种方式进行培训，强化其工作技能和质量意识。生产员工严格遵守车间纪律。</w:t>
      </w:r>
    </w:p>
    <w:p w14:paraId="4C9B525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推行精细化生产组织模式以缩短生产和交货周期，快速适应市场订单品种和数量高低起伏的变化，在降低库存基础上满足客户需求，满足了客户对电扶梯产品性能的全面了解和产品质量的进一步认可，订货率也随之提高，并且在很大程度上解决了售后质量问题，减少了售后服务工作人员的工作量，使售后服务工作安排更加柔性化。</w:t>
      </w:r>
    </w:p>
    <w:p w14:paraId="28A66F17">
      <w:pPr>
        <w:spacing w:line="360" w:lineRule="auto"/>
        <w:ind w:firstLine="480" w:firstLineChars="200"/>
        <w:outlineLvl w:val="2"/>
        <w:rPr>
          <w:rFonts w:cs="Times New Roman" w:asciiTheme="minorEastAsia" w:hAnsiTheme="minorEastAsia"/>
          <w:kern w:val="0"/>
          <w:sz w:val="24"/>
          <w:szCs w:val="24"/>
        </w:rPr>
      </w:pPr>
      <w:bookmarkStart w:id="23" w:name="_Toc515451676"/>
      <w:r>
        <w:rPr>
          <w:rFonts w:hint="eastAsia" w:cs="Times New Roman" w:asciiTheme="minorEastAsia" w:hAnsiTheme="minorEastAsia"/>
          <w:kern w:val="0"/>
          <w:sz w:val="24"/>
          <w:szCs w:val="24"/>
        </w:rPr>
        <w:t>4、营销管理</w:t>
      </w:r>
      <w:bookmarkEnd w:id="23"/>
    </w:p>
    <w:p w14:paraId="2FB0812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根据战略要求，对市场进行细分，以提高资源和运作的有效性针对性。公司将顾客分为直接顾客、间接顾客两类。针对不同类型顾客确定顾客的需求与期望，针对其需求与期望来确定适当的方法，建立相应的体系与团队，建立各种渠道和方法，针对性的进行顾客需求与期望的了解。</w:t>
      </w:r>
    </w:p>
    <w:p w14:paraId="1073D31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公司通过展览会、行业会议、行业标委会、公共媒体、互联网、外部机构等渠道，以问卷调查、面对面或电话访谈、观察查询、外部委托等方法，了解客户的需求和期望。</w:t>
      </w:r>
    </w:p>
    <w:p w14:paraId="7EBE0E1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14:paraId="112AD40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以“诚信、合作、创新、进取”为核心价值观，要求业务人员对于任何一位客户，不论他下单与否，都要做到热情、周到，都要尽量满足他们的所有合理需求。制订了《顾客投诉及满意度控制程序》等，从各方面增加业务人员的技能和素质，提升了顾客成交率。</w:t>
      </w:r>
    </w:p>
    <w:p w14:paraId="2201BC9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公司建立顾客回访制度，采取顾客自愿形式，记录顾客联系电话、产品型号订购时间等相关信息，在顾客购买一段时间后（通常是一年内）进行电话回访，并适时推介新款，提升顾客满意度。</w:t>
      </w:r>
    </w:p>
    <w:p w14:paraId="0F388F9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公司建立及时反馈处理用户投诉意见的快速反应机制，投诉/应急处理的响应时间原则上不超过</w:t>
      </w:r>
      <w:r>
        <w:rPr>
          <w:rFonts w:cs="Times New Roman" w:asciiTheme="minorEastAsia" w:hAnsiTheme="minorEastAsia"/>
          <w:kern w:val="0"/>
          <w:sz w:val="24"/>
          <w:szCs w:val="24"/>
        </w:rPr>
        <w:t>24</w:t>
      </w:r>
      <w:r>
        <w:rPr>
          <w:rFonts w:hint="eastAsia" w:cs="Times New Roman" w:asciiTheme="minorEastAsia" w:hAnsiTheme="minorEastAsia"/>
          <w:kern w:val="0"/>
          <w:sz w:val="24"/>
          <w:szCs w:val="24"/>
        </w:rPr>
        <w:t>小时，对不可预测的变化，及时采取应对措施。</w:t>
      </w:r>
    </w:p>
    <w:p w14:paraId="25121516">
      <w:pPr>
        <w:spacing w:line="360" w:lineRule="auto"/>
        <w:ind w:firstLine="480" w:firstLineChars="200"/>
        <w:outlineLvl w:val="1"/>
        <w:rPr>
          <w:rFonts w:cs="Times New Roman" w:asciiTheme="minorEastAsia" w:hAnsiTheme="minorEastAsia"/>
          <w:kern w:val="0"/>
          <w:sz w:val="24"/>
          <w:szCs w:val="24"/>
        </w:rPr>
      </w:pPr>
      <w:bookmarkStart w:id="24" w:name="_Toc18678"/>
      <w:r>
        <w:rPr>
          <w:rFonts w:hint="eastAsia" w:cs="Times New Roman" w:asciiTheme="minorEastAsia" w:hAnsiTheme="minorEastAsia"/>
          <w:kern w:val="0"/>
          <w:sz w:val="24"/>
          <w:szCs w:val="24"/>
        </w:rPr>
        <w:t>（五）企业文化建设</w:t>
      </w:r>
      <w:bookmarkEnd w:id="24"/>
    </w:p>
    <w:p w14:paraId="4B53175E">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1、愿景、使命、价值观</w:t>
      </w:r>
    </w:p>
    <w:p w14:paraId="75CB1C84">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表2：公司的质量理念</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521"/>
      </w:tblGrid>
      <w:tr w14:paraId="6DCC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trPr>
        <w:tc>
          <w:tcPr>
            <w:tcW w:w="1843" w:type="dxa"/>
            <w:tcBorders>
              <w:bottom w:val="single" w:color="auto" w:sz="4" w:space="0"/>
            </w:tcBorders>
            <w:vAlign w:val="center"/>
          </w:tcPr>
          <w:p w14:paraId="1B4ADB22">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项</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目</w:t>
            </w:r>
          </w:p>
        </w:tc>
        <w:tc>
          <w:tcPr>
            <w:tcW w:w="6521" w:type="dxa"/>
            <w:tcBorders>
              <w:bottom w:val="single" w:color="auto" w:sz="4" w:space="0"/>
            </w:tcBorders>
            <w:vAlign w:val="center"/>
          </w:tcPr>
          <w:p w14:paraId="2FB039A3">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内</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容</w:t>
            </w:r>
          </w:p>
        </w:tc>
      </w:tr>
      <w:tr w14:paraId="3CA5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vAlign w:val="center"/>
          </w:tcPr>
          <w:p w14:paraId="1042AB0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使命</w:t>
            </w:r>
          </w:p>
        </w:tc>
        <w:tc>
          <w:tcPr>
            <w:tcW w:w="6521" w:type="dxa"/>
            <w:vAlign w:val="center"/>
          </w:tcPr>
          <w:p w14:paraId="0129D931">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耕耘挂锁行业，推动行业发展</w:t>
            </w:r>
          </w:p>
        </w:tc>
      </w:tr>
      <w:tr w14:paraId="033D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vAlign w:val="center"/>
          </w:tcPr>
          <w:p w14:paraId="72DE469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愿景</w:t>
            </w:r>
          </w:p>
        </w:tc>
        <w:tc>
          <w:tcPr>
            <w:tcW w:w="6521" w:type="dxa"/>
            <w:vAlign w:val="center"/>
          </w:tcPr>
          <w:p w14:paraId="5F0CBFA4">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致力于成为人民满意和国内一流的企业</w:t>
            </w:r>
          </w:p>
        </w:tc>
      </w:tr>
      <w:tr w14:paraId="37ED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vAlign w:val="center"/>
          </w:tcPr>
          <w:p w14:paraId="1698A885">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核心价值观</w:t>
            </w:r>
          </w:p>
        </w:tc>
        <w:tc>
          <w:tcPr>
            <w:tcW w:w="6521" w:type="dxa"/>
            <w:vAlign w:val="center"/>
          </w:tcPr>
          <w:p w14:paraId="61429DED">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人本、诚信、创新、共赢</w:t>
            </w:r>
          </w:p>
        </w:tc>
      </w:tr>
      <w:tr w14:paraId="2D2A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843" w:type="dxa"/>
            <w:vAlign w:val="center"/>
          </w:tcPr>
          <w:p w14:paraId="3257125C">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经营理念</w:t>
            </w:r>
          </w:p>
        </w:tc>
        <w:tc>
          <w:tcPr>
            <w:tcW w:w="6521" w:type="dxa"/>
            <w:vAlign w:val="center"/>
          </w:tcPr>
          <w:p w14:paraId="2F87A923">
            <w:pPr>
              <w:spacing w:line="360" w:lineRule="auto"/>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认真，理解，沟通，诚信</w:t>
            </w:r>
          </w:p>
        </w:tc>
      </w:tr>
    </w:tbl>
    <w:p w14:paraId="70314A77">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2、品牌建设情况</w:t>
      </w:r>
    </w:p>
    <w:p w14:paraId="5879146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浙江浦江圣力工贸有限公司以产品质量赢得市场口碑，在行业内品牌形象上佳，并依托网络品牌宣传和推广，产品知名度在业界具有很高知名度，产品和服务得到用户认可，近三年来，顾客满意度一直处于上升趋势。公司在顾客与市场方面的绩效结果，包括顾客满意表明圣力稳定处于在较高的水平</w:t>
      </w:r>
      <w:r>
        <w:rPr>
          <w:rFonts w:cs="Times New Roman" w:asciiTheme="minorEastAsia" w:hAnsiTheme="minorEastAsia"/>
          <w:kern w:val="0"/>
          <w:sz w:val="24"/>
          <w:szCs w:val="24"/>
        </w:rPr>
        <w:t>。</w:t>
      </w:r>
    </w:p>
    <w:p w14:paraId="201B24F6">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公司不断壮大“精、专、新”的研发队伍，持续改善产品技术水平和质量性能，近三年来产品多次获得客户和同行认可</w:t>
      </w:r>
      <w:r>
        <w:rPr>
          <w:rFonts w:hint="eastAsia" w:cs="Times New Roman" w:asciiTheme="minorEastAsia" w:hAnsiTheme="minorEastAsia"/>
          <w:kern w:val="0"/>
          <w:sz w:val="24"/>
          <w:szCs w:val="24"/>
        </w:rPr>
        <w:t>。</w:t>
      </w:r>
    </w:p>
    <w:p w14:paraId="60A1C00C">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表3：质量管理水平相关绩效结果</w:t>
      </w:r>
    </w:p>
    <w:tbl>
      <w:tblPr>
        <w:tblStyle w:val="39"/>
        <w:tblW w:w="0" w:type="auto"/>
        <w:jc w:val="center"/>
        <w:tblLayout w:type="fixed"/>
        <w:tblCellMar>
          <w:top w:w="0" w:type="dxa"/>
          <w:left w:w="108" w:type="dxa"/>
          <w:bottom w:w="0" w:type="dxa"/>
          <w:right w:w="108" w:type="dxa"/>
        </w:tblCellMar>
      </w:tblPr>
      <w:tblGrid>
        <w:gridCol w:w="2223"/>
        <w:gridCol w:w="792"/>
        <w:gridCol w:w="1701"/>
        <w:gridCol w:w="1842"/>
        <w:gridCol w:w="1718"/>
      </w:tblGrid>
      <w:tr w14:paraId="594F60DE">
        <w:tblPrEx>
          <w:tblCellMar>
            <w:top w:w="0" w:type="dxa"/>
            <w:left w:w="108" w:type="dxa"/>
            <w:bottom w:w="0" w:type="dxa"/>
            <w:right w:w="108" w:type="dxa"/>
          </w:tblCellMar>
        </w:tblPrEx>
        <w:trPr>
          <w:trHeight w:val="454" w:hRule="atLeast"/>
          <w:jc w:val="center"/>
        </w:trPr>
        <w:tc>
          <w:tcPr>
            <w:tcW w:w="2223" w:type="dxa"/>
            <w:tcBorders>
              <w:top w:val="single" w:color="000000" w:sz="4" w:space="0"/>
              <w:left w:val="single" w:color="000000" w:sz="4" w:space="0"/>
              <w:bottom w:val="single" w:color="000000" w:sz="4" w:space="0"/>
              <w:right w:val="single" w:color="000000" w:sz="4" w:space="0"/>
            </w:tcBorders>
            <w:vAlign w:val="center"/>
          </w:tcPr>
          <w:p w14:paraId="1CBD81BF">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指标项</w:t>
            </w:r>
          </w:p>
        </w:tc>
        <w:tc>
          <w:tcPr>
            <w:tcW w:w="792" w:type="dxa"/>
            <w:tcBorders>
              <w:top w:val="single" w:color="000000" w:sz="4" w:space="0"/>
              <w:left w:val="nil"/>
              <w:bottom w:val="single" w:color="000000" w:sz="4" w:space="0"/>
              <w:right w:val="single" w:color="auto" w:sz="4" w:space="0"/>
            </w:tcBorders>
            <w:vAlign w:val="center"/>
          </w:tcPr>
          <w:p w14:paraId="5DDE9FC9">
            <w:pPr>
              <w:spacing w:line="360" w:lineRule="auto"/>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1701" w:type="dxa"/>
            <w:tcBorders>
              <w:top w:val="single" w:color="000000" w:sz="4" w:space="0"/>
              <w:left w:val="single" w:color="auto" w:sz="4" w:space="0"/>
              <w:bottom w:val="single" w:color="000000" w:sz="4" w:space="0"/>
              <w:right w:val="single" w:color="000000" w:sz="4" w:space="0"/>
            </w:tcBorders>
            <w:vAlign w:val="center"/>
          </w:tcPr>
          <w:p w14:paraId="0E923656">
            <w:pPr>
              <w:spacing w:line="360" w:lineRule="auto"/>
              <w:ind w:firstLine="480" w:firstLineChars="200"/>
              <w:jc w:val="both"/>
              <w:rPr>
                <w:rFonts w:cs="Times New Roman" w:asciiTheme="minorEastAsia" w:hAnsiTheme="minorEastAsia"/>
                <w:kern w:val="0"/>
                <w:sz w:val="24"/>
                <w:szCs w:val="24"/>
              </w:rPr>
            </w:pPr>
            <w:r>
              <w:rPr>
                <w:rFonts w:cs="Times New Roman" w:asciiTheme="minorEastAsia" w:hAnsiTheme="minorEastAsia"/>
                <w:kern w:val="0"/>
                <w:sz w:val="24"/>
                <w:szCs w:val="24"/>
              </w:rPr>
              <w:t>20</w:t>
            </w: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3</w:t>
            </w:r>
            <w:r>
              <w:rPr>
                <w:rFonts w:cs="Times New Roman" w:asciiTheme="minorEastAsia" w:hAnsiTheme="minorEastAsia"/>
                <w:kern w:val="0"/>
                <w:sz w:val="24"/>
                <w:szCs w:val="24"/>
              </w:rPr>
              <w:t>年</w:t>
            </w:r>
          </w:p>
        </w:tc>
        <w:tc>
          <w:tcPr>
            <w:tcW w:w="1842" w:type="dxa"/>
            <w:tcBorders>
              <w:top w:val="single" w:color="000000" w:sz="4" w:space="0"/>
              <w:left w:val="nil"/>
              <w:bottom w:val="single" w:color="000000" w:sz="4" w:space="0"/>
              <w:right w:val="single" w:color="000000" w:sz="4" w:space="0"/>
            </w:tcBorders>
            <w:vAlign w:val="center"/>
          </w:tcPr>
          <w:p w14:paraId="2BD106DC">
            <w:pPr>
              <w:spacing w:line="360" w:lineRule="auto"/>
              <w:ind w:firstLine="480" w:firstLineChars="200"/>
              <w:jc w:val="both"/>
              <w:rPr>
                <w:rFonts w:cs="Times New Roman" w:asciiTheme="minorEastAsia" w:hAnsiTheme="minorEastAsia"/>
                <w:kern w:val="0"/>
                <w:sz w:val="24"/>
                <w:szCs w:val="24"/>
              </w:rPr>
            </w:pPr>
            <w:r>
              <w:rPr>
                <w:rFonts w:cs="Times New Roman" w:asciiTheme="minorEastAsia" w:hAnsiTheme="minorEastAsia"/>
                <w:kern w:val="0"/>
                <w:sz w:val="24"/>
                <w:szCs w:val="24"/>
              </w:rPr>
              <w:t>20</w:t>
            </w: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4</w:t>
            </w:r>
            <w:r>
              <w:rPr>
                <w:rFonts w:cs="Times New Roman" w:asciiTheme="minorEastAsia" w:hAnsiTheme="minorEastAsia"/>
                <w:kern w:val="0"/>
                <w:sz w:val="24"/>
                <w:szCs w:val="24"/>
              </w:rPr>
              <w:t>年</w:t>
            </w:r>
          </w:p>
        </w:tc>
        <w:tc>
          <w:tcPr>
            <w:tcW w:w="1718" w:type="dxa"/>
            <w:tcBorders>
              <w:top w:val="single" w:color="000000" w:sz="4" w:space="0"/>
              <w:left w:val="nil"/>
              <w:bottom w:val="single" w:color="000000" w:sz="4" w:space="0"/>
              <w:right w:val="single" w:color="000000" w:sz="4" w:space="0"/>
            </w:tcBorders>
            <w:vAlign w:val="center"/>
          </w:tcPr>
          <w:p w14:paraId="70A61B00">
            <w:pPr>
              <w:spacing w:line="360" w:lineRule="auto"/>
              <w:ind w:firstLine="480" w:firstLineChars="200"/>
              <w:jc w:val="both"/>
              <w:rPr>
                <w:rFonts w:cs="Times New Roman" w:asciiTheme="minorEastAsia" w:hAnsiTheme="minorEastAsia"/>
                <w:kern w:val="0"/>
                <w:sz w:val="24"/>
                <w:szCs w:val="24"/>
              </w:rPr>
            </w:pPr>
            <w:r>
              <w:rPr>
                <w:rFonts w:cs="Times New Roman" w:asciiTheme="minorEastAsia" w:hAnsiTheme="minorEastAsia"/>
                <w:kern w:val="0"/>
                <w:sz w:val="24"/>
                <w:szCs w:val="24"/>
              </w:rPr>
              <w:t>20</w:t>
            </w: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5</w:t>
            </w:r>
            <w:r>
              <w:rPr>
                <w:rFonts w:cs="Times New Roman" w:asciiTheme="minorEastAsia" w:hAnsiTheme="minorEastAsia"/>
                <w:kern w:val="0"/>
                <w:sz w:val="24"/>
                <w:szCs w:val="24"/>
              </w:rPr>
              <w:t>年</w:t>
            </w:r>
          </w:p>
        </w:tc>
      </w:tr>
      <w:tr w14:paraId="5BE3D060">
        <w:tblPrEx>
          <w:tblCellMar>
            <w:top w:w="0" w:type="dxa"/>
            <w:left w:w="108" w:type="dxa"/>
            <w:bottom w:w="0" w:type="dxa"/>
            <w:right w:w="108" w:type="dxa"/>
          </w:tblCellMar>
        </w:tblPrEx>
        <w:trPr>
          <w:trHeight w:val="454" w:hRule="atLeast"/>
          <w:jc w:val="center"/>
        </w:trPr>
        <w:tc>
          <w:tcPr>
            <w:tcW w:w="2223" w:type="dxa"/>
            <w:tcBorders>
              <w:top w:val="single" w:color="000000" w:sz="4" w:space="0"/>
              <w:left w:val="single" w:color="000000" w:sz="4" w:space="0"/>
              <w:bottom w:val="single" w:color="000000" w:sz="4" w:space="0"/>
              <w:right w:val="single" w:color="000000" w:sz="4" w:space="0"/>
            </w:tcBorders>
            <w:vAlign w:val="center"/>
          </w:tcPr>
          <w:p w14:paraId="22A70150">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客户</w:t>
            </w:r>
            <w:r>
              <w:rPr>
                <w:rFonts w:cs="Times New Roman" w:asciiTheme="minorEastAsia" w:hAnsiTheme="minorEastAsia"/>
                <w:kern w:val="0"/>
                <w:sz w:val="24"/>
                <w:szCs w:val="24"/>
              </w:rPr>
              <w:t>满意度</w:t>
            </w:r>
          </w:p>
        </w:tc>
        <w:tc>
          <w:tcPr>
            <w:tcW w:w="792" w:type="dxa"/>
            <w:tcBorders>
              <w:top w:val="single" w:color="000000" w:sz="4" w:space="0"/>
              <w:left w:val="nil"/>
              <w:bottom w:val="single" w:color="000000" w:sz="4" w:space="0"/>
              <w:right w:val="single" w:color="auto" w:sz="4" w:space="0"/>
            </w:tcBorders>
            <w:vAlign w:val="center"/>
          </w:tcPr>
          <w:p w14:paraId="269879C1">
            <w:pPr>
              <w:spacing w:line="360" w:lineRule="auto"/>
              <w:ind w:firstLine="240" w:firstLineChars="100"/>
              <w:rPr>
                <w:rFonts w:cs="Times New Roman" w:asciiTheme="minorEastAsia" w:hAnsiTheme="minorEastAsia"/>
                <w:kern w:val="0"/>
                <w:sz w:val="24"/>
                <w:szCs w:val="24"/>
              </w:rPr>
            </w:pPr>
            <w:r>
              <w:rPr>
                <w:rFonts w:hint="eastAsia" w:cs="Times New Roman" w:asciiTheme="minorEastAsia" w:hAnsiTheme="minorEastAsia"/>
                <w:kern w:val="0"/>
                <w:sz w:val="24"/>
                <w:szCs w:val="24"/>
              </w:rPr>
              <w:t>分</w:t>
            </w:r>
          </w:p>
        </w:tc>
        <w:tc>
          <w:tcPr>
            <w:tcW w:w="1701" w:type="dxa"/>
            <w:tcBorders>
              <w:top w:val="single" w:color="000000" w:sz="4" w:space="0"/>
              <w:left w:val="single" w:color="auto" w:sz="4" w:space="0"/>
              <w:bottom w:val="single" w:color="000000" w:sz="4" w:space="0"/>
              <w:right w:val="single" w:color="000000" w:sz="4" w:space="0"/>
            </w:tcBorders>
            <w:vAlign w:val="center"/>
          </w:tcPr>
          <w:p w14:paraId="5C143A81">
            <w:pPr>
              <w:spacing w:line="360" w:lineRule="auto"/>
              <w:ind w:firstLine="720" w:firstLineChars="300"/>
              <w:jc w:val="both"/>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93</w:t>
            </w:r>
          </w:p>
        </w:tc>
        <w:tc>
          <w:tcPr>
            <w:tcW w:w="1842" w:type="dxa"/>
            <w:tcBorders>
              <w:top w:val="single" w:color="000000" w:sz="4" w:space="0"/>
              <w:left w:val="nil"/>
              <w:bottom w:val="single" w:color="000000" w:sz="4" w:space="0"/>
              <w:right w:val="single" w:color="000000" w:sz="4" w:space="0"/>
            </w:tcBorders>
            <w:vAlign w:val="center"/>
          </w:tcPr>
          <w:p w14:paraId="1C5D460F">
            <w:pPr>
              <w:spacing w:line="360" w:lineRule="auto"/>
              <w:ind w:firstLine="480" w:firstLineChars="200"/>
              <w:jc w:val="both"/>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99.25</w:t>
            </w:r>
          </w:p>
        </w:tc>
        <w:tc>
          <w:tcPr>
            <w:tcW w:w="1718" w:type="dxa"/>
            <w:tcBorders>
              <w:top w:val="single" w:color="000000" w:sz="4" w:space="0"/>
              <w:left w:val="nil"/>
              <w:bottom w:val="single" w:color="000000" w:sz="4" w:space="0"/>
              <w:right w:val="single" w:color="000000" w:sz="4" w:space="0"/>
            </w:tcBorders>
            <w:vAlign w:val="center"/>
          </w:tcPr>
          <w:p w14:paraId="0E1C46BA">
            <w:pPr>
              <w:spacing w:line="360" w:lineRule="auto"/>
              <w:ind w:firstLine="480" w:firstLineChars="200"/>
              <w:jc w:val="both"/>
              <w:rPr>
                <w:rFonts w:hint="default" w:cs="Times New Roman" w:asciiTheme="minorEastAsia" w:hAnsiTheme="minorEastAsia" w:eastAsiaTheme="minorEastAsia"/>
                <w:kern w:val="0"/>
                <w:sz w:val="24"/>
                <w:szCs w:val="24"/>
                <w:lang w:val="en-US" w:eastAsia="zh-CN"/>
              </w:rPr>
            </w:pPr>
            <w:r>
              <w:rPr>
                <w:rFonts w:hint="default" w:cs="Times New Roman" w:asciiTheme="minorEastAsia" w:hAnsiTheme="minorEastAsia"/>
                <w:kern w:val="0"/>
                <w:sz w:val="24"/>
                <w:szCs w:val="24"/>
                <w:lang w:val="en-US" w:eastAsia="zh-CN"/>
              </w:rPr>
              <w:t>99.</w:t>
            </w:r>
            <w:r>
              <w:rPr>
                <w:rFonts w:hint="eastAsia" w:cs="Times New Roman" w:asciiTheme="minorEastAsia" w:hAnsiTheme="minorEastAsia"/>
                <w:kern w:val="0"/>
                <w:sz w:val="24"/>
                <w:szCs w:val="24"/>
                <w:lang w:val="en-US" w:eastAsia="zh-CN"/>
              </w:rPr>
              <w:t>45</w:t>
            </w:r>
          </w:p>
        </w:tc>
      </w:tr>
    </w:tbl>
    <w:p w14:paraId="184D377B">
      <w:pPr>
        <w:spacing w:line="360" w:lineRule="auto"/>
        <w:ind w:firstLine="480" w:firstLineChars="200"/>
        <w:rPr>
          <w:rFonts w:cs="Times New Roman" w:asciiTheme="minorEastAsia" w:hAnsiTheme="minorEastAsia"/>
          <w:kern w:val="0"/>
          <w:sz w:val="24"/>
          <w:szCs w:val="24"/>
        </w:rPr>
      </w:pPr>
    </w:p>
    <w:p w14:paraId="1002015C">
      <w:pPr>
        <w:spacing w:line="360" w:lineRule="auto"/>
        <w:ind w:firstLine="480" w:firstLineChars="200"/>
        <w:outlineLvl w:val="1"/>
        <w:rPr>
          <w:rFonts w:cs="Times New Roman" w:asciiTheme="minorEastAsia" w:hAnsiTheme="minorEastAsia"/>
          <w:kern w:val="0"/>
          <w:sz w:val="24"/>
          <w:szCs w:val="24"/>
        </w:rPr>
      </w:pPr>
      <w:bookmarkStart w:id="25" w:name="_Toc515451678"/>
      <w:bookmarkStart w:id="26" w:name="_Toc5299"/>
      <w:r>
        <w:rPr>
          <w:rFonts w:hint="eastAsia" w:cs="Times New Roman" w:asciiTheme="minorEastAsia" w:hAnsiTheme="minorEastAsia"/>
          <w:kern w:val="0"/>
          <w:sz w:val="24"/>
          <w:szCs w:val="24"/>
        </w:rPr>
        <w:t>（六）</w:t>
      </w:r>
      <w:bookmarkEnd w:id="25"/>
      <w:r>
        <w:rPr>
          <w:rFonts w:hint="eastAsia" w:cs="Times New Roman" w:asciiTheme="minorEastAsia" w:hAnsiTheme="minorEastAsia"/>
          <w:kern w:val="0"/>
          <w:sz w:val="24"/>
          <w:szCs w:val="24"/>
        </w:rPr>
        <w:t>企业技术水平</w:t>
      </w:r>
      <w:bookmarkEnd w:id="26"/>
    </w:p>
    <w:p w14:paraId="1E9223F6">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1、专利情况</w:t>
      </w:r>
    </w:p>
    <w:p w14:paraId="5545FF2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近年来，公司积极开展自主创新工作，加大研发投入力度，公司先后成立产品研发中心、产品试验中心。经过多年的技术沉</w:t>
      </w:r>
      <w:bookmarkStart w:id="36" w:name="_GoBack"/>
      <w:bookmarkEnd w:id="36"/>
      <w:r>
        <w:rPr>
          <w:rFonts w:hint="eastAsia" w:cs="Times New Roman" w:asciiTheme="minorEastAsia" w:hAnsiTheme="minorEastAsia"/>
          <w:kern w:val="0"/>
          <w:sz w:val="24"/>
          <w:szCs w:val="24"/>
        </w:rPr>
        <w:t>淀和新技术开发，公司目前拥有4</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项专利，发明专利2项，实用新型专利4</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项，外观专利</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项。同时，2020年6月，公司通过了GB/T29490-2013知识产权管理体系认证，获得了编号为51820IP0155R0M知识产权管理体系认证证书。</w:t>
      </w:r>
    </w:p>
    <w:p w14:paraId="76A241ED">
      <w:pPr>
        <w:spacing w:line="360" w:lineRule="auto"/>
        <w:ind w:firstLine="480" w:firstLineChars="200"/>
        <w:outlineLvl w:val="2"/>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、产品检验标准与水平</w:t>
      </w:r>
    </w:p>
    <w:p w14:paraId="7901A39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w:t>
      </w:r>
    </w:p>
    <w:p w14:paraId="042CF00E">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自建厂以来，公司从未出现过重大质量投诉，在历年接受各级质量技术部门的抽检中，合格率均达100%。</w:t>
      </w:r>
    </w:p>
    <w:p w14:paraId="4F5B15AF">
      <w:pPr>
        <w:spacing w:line="360" w:lineRule="auto"/>
        <w:ind w:firstLine="480" w:firstLineChars="200"/>
        <w:outlineLvl w:val="1"/>
        <w:rPr>
          <w:rFonts w:cs="Times New Roman" w:asciiTheme="minorEastAsia" w:hAnsiTheme="minorEastAsia"/>
          <w:kern w:val="0"/>
          <w:sz w:val="24"/>
          <w:szCs w:val="24"/>
        </w:rPr>
      </w:pPr>
      <w:bookmarkStart w:id="27" w:name="_Toc515451679"/>
      <w:bookmarkStart w:id="28" w:name="_Toc26372"/>
      <w:r>
        <w:rPr>
          <w:rFonts w:hint="eastAsia" w:cs="Times New Roman" w:asciiTheme="minorEastAsia" w:hAnsiTheme="minorEastAsia"/>
          <w:kern w:val="0"/>
          <w:sz w:val="24"/>
          <w:szCs w:val="24"/>
        </w:rPr>
        <w:t>（七）</w:t>
      </w:r>
      <w:bookmarkEnd w:id="27"/>
      <w:r>
        <w:rPr>
          <w:rFonts w:hint="eastAsia" w:cs="Times New Roman" w:asciiTheme="minorEastAsia" w:hAnsiTheme="minorEastAsia"/>
          <w:kern w:val="0"/>
          <w:sz w:val="24"/>
          <w:szCs w:val="24"/>
        </w:rPr>
        <w:t>企业计量水平</w:t>
      </w:r>
      <w:bookmarkEnd w:id="28"/>
    </w:p>
    <w:p w14:paraId="04039F0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14:paraId="13C1188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为确保产品质量，在产品生产工艺中严格过程控制，对生产工艺过程中的原辅材料等加强计量管理，确保计量设备的正常运行和计量的准确性。</w:t>
      </w:r>
    </w:p>
    <w:p w14:paraId="564C19C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的计量基础。</w:t>
      </w:r>
    </w:p>
    <w:p w14:paraId="79458C50">
      <w:pPr>
        <w:spacing w:line="360" w:lineRule="auto"/>
        <w:ind w:firstLine="480" w:firstLineChars="200"/>
        <w:outlineLvl w:val="1"/>
        <w:rPr>
          <w:rFonts w:cs="Times New Roman" w:asciiTheme="minorEastAsia" w:hAnsiTheme="minorEastAsia"/>
          <w:kern w:val="0"/>
          <w:sz w:val="24"/>
          <w:szCs w:val="24"/>
        </w:rPr>
      </w:pPr>
      <w:bookmarkStart w:id="29" w:name="_Toc9831"/>
      <w:bookmarkStart w:id="30" w:name="_Toc515451680"/>
      <w:r>
        <w:rPr>
          <w:rFonts w:hint="eastAsia" w:cs="Times New Roman" w:asciiTheme="minorEastAsia" w:hAnsiTheme="minorEastAsia"/>
          <w:kern w:val="0"/>
          <w:sz w:val="24"/>
          <w:szCs w:val="24"/>
        </w:rPr>
        <w:t>（八）认证认可情况</w:t>
      </w:r>
      <w:bookmarkEnd w:id="29"/>
      <w:bookmarkEnd w:id="30"/>
    </w:p>
    <w:p w14:paraId="0210FD7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目前公司已通过ISO9001质量认证，并准备开展“浙江制造”品牌认证，公司将严格按国际质量管理体系执行，使企业产品的质量得到有力的保障，从而使企业“精诚服务，顾客至上；安全节能，持续改进”的质量方针得以顺利推行。</w:t>
      </w:r>
    </w:p>
    <w:p w14:paraId="209EE47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--管理体系</w:t>
      </w:r>
    </w:p>
    <w:p w14:paraId="6697709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通过ISO9001、ISO14001和ISO45001三体系认证，产品达到业内先进水平。</w:t>
      </w:r>
    </w:p>
    <w:p w14:paraId="09D2ED6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--产品认证</w:t>
      </w:r>
    </w:p>
    <w:p w14:paraId="7448E27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公司主要产品性能指标达到国际领先水平。</w:t>
      </w:r>
    </w:p>
    <w:p w14:paraId="79B49658">
      <w:pPr>
        <w:spacing w:line="360" w:lineRule="auto"/>
        <w:ind w:firstLine="480" w:firstLineChars="200"/>
        <w:outlineLvl w:val="1"/>
        <w:rPr>
          <w:rFonts w:cs="Times New Roman" w:asciiTheme="minorEastAsia" w:hAnsiTheme="minorEastAsia"/>
          <w:kern w:val="0"/>
          <w:sz w:val="24"/>
          <w:szCs w:val="24"/>
        </w:rPr>
      </w:pPr>
      <w:bookmarkStart w:id="31" w:name="_Toc110"/>
      <w:bookmarkStart w:id="32" w:name="_Toc515451683"/>
      <w:r>
        <w:rPr>
          <w:rFonts w:hint="eastAsia" w:cs="Times New Roman" w:asciiTheme="minorEastAsia" w:hAnsiTheme="minorEastAsia"/>
          <w:kern w:val="0"/>
          <w:sz w:val="24"/>
          <w:szCs w:val="24"/>
        </w:rPr>
        <w:t>（九）产品质量承诺</w:t>
      </w:r>
      <w:bookmarkEnd w:id="31"/>
    </w:p>
    <w:p w14:paraId="2334140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自顾客购买之日起，在合规的使用条件下，质保期为三年；在质保期内，由于锁本身质量导致的问题，供方应提供免费维修或更换服务。</w:t>
      </w:r>
    </w:p>
    <w:bookmarkEnd w:id="32"/>
    <w:p w14:paraId="67E8C250">
      <w:pPr>
        <w:spacing w:line="360" w:lineRule="auto"/>
        <w:ind w:firstLine="480" w:firstLineChars="200"/>
        <w:outlineLvl w:val="1"/>
        <w:rPr>
          <w:rFonts w:cs="Times New Roman" w:asciiTheme="minorEastAsia" w:hAnsiTheme="minorEastAsia"/>
          <w:kern w:val="0"/>
          <w:sz w:val="24"/>
          <w:szCs w:val="24"/>
        </w:rPr>
      </w:pPr>
      <w:bookmarkStart w:id="33" w:name="_Toc14390"/>
      <w:r>
        <w:rPr>
          <w:rFonts w:hint="eastAsia" w:cs="Times New Roman" w:asciiTheme="minorEastAsia" w:hAnsiTheme="minorEastAsia"/>
          <w:kern w:val="0"/>
          <w:sz w:val="24"/>
          <w:szCs w:val="24"/>
        </w:rPr>
        <w:t>（十）质量投诉处理</w:t>
      </w:r>
      <w:bookmarkEnd w:id="33"/>
    </w:p>
    <w:p w14:paraId="7F80FD9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并实施顾客投诉处理流程，确保及时有效地处理客户投诉。客户投诉由专职人员处理，每张投诉单，均应严密监控，根据客户投诉类型与程度的差异，以客户为中心并注重收集和解决客户的反馈，并采取必要的纠正/预防措施，以防止类似问题的重复发生。以电话回访的方式跟踪投诉处理过程，了解顾客的满意度。</w:t>
      </w:r>
    </w:p>
    <w:p w14:paraId="13C9E7CD">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同时，公司销售部门对客诉信息定期监测，设立售后服务部门，对市场中重复发生及影响客户满意度和产品体验的问题进行集中收集，并加以分析，形成报告。定期组织内部各部门召开产品质量会议。组建品管圈、跨部门产品质量改善团队、同时联动上游供应商及相关合作伙伴，对重大产品质量问题进行攻坚改善，消除质量风险，提升产品质量满意度。</w:t>
      </w:r>
    </w:p>
    <w:p w14:paraId="1896FE01">
      <w:pPr>
        <w:spacing w:line="360" w:lineRule="auto"/>
        <w:ind w:firstLine="480" w:firstLineChars="200"/>
        <w:outlineLvl w:val="1"/>
        <w:rPr>
          <w:rFonts w:cs="Times New Roman" w:asciiTheme="minorEastAsia" w:hAnsiTheme="minorEastAsia"/>
          <w:kern w:val="0"/>
          <w:sz w:val="24"/>
          <w:szCs w:val="24"/>
        </w:rPr>
      </w:pPr>
      <w:bookmarkStart w:id="34" w:name="_Toc21494"/>
      <w:r>
        <w:rPr>
          <w:rFonts w:hint="eastAsia" w:cs="Times New Roman" w:asciiTheme="minorEastAsia" w:hAnsiTheme="minorEastAsia"/>
          <w:kern w:val="0"/>
          <w:sz w:val="24"/>
          <w:szCs w:val="24"/>
        </w:rPr>
        <w:t>（十一）质量风险监测</w:t>
      </w:r>
      <w:bookmarkEnd w:id="34"/>
    </w:p>
    <w:p w14:paraId="3644A3E5">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公司制定常规产品生产运行控制流程，做到每一个环节严格控制，严格把关，确保每个零件的生产都符合相关要求，确保最终产品质量的合格。公司还运用三检制，即自检、</w:t>
      </w:r>
      <w:r>
        <w:rPr>
          <w:rFonts w:hint="eastAsia" w:cs="Times New Roman" w:asciiTheme="minorEastAsia" w:hAnsiTheme="minorEastAsia"/>
          <w:kern w:val="0"/>
          <w:sz w:val="24"/>
          <w:szCs w:val="24"/>
        </w:rPr>
        <w:t>互检、专检，</w:t>
      </w:r>
      <w:r>
        <w:rPr>
          <w:rFonts w:cs="Times New Roman" w:asciiTheme="minorEastAsia" w:hAnsiTheme="minorEastAsia"/>
          <w:kern w:val="0"/>
          <w:sz w:val="24"/>
          <w:szCs w:val="24"/>
        </w:rPr>
        <w:t>对产品质量进行严格把控。其中自检包括</w:t>
      </w:r>
      <w:r>
        <w:rPr>
          <w:rFonts w:hint="eastAsia" w:cs="Times New Roman" w:asciiTheme="minorEastAsia" w:hAnsiTheme="minorEastAsia"/>
          <w:kern w:val="0"/>
          <w:sz w:val="24"/>
          <w:szCs w:val="24"/>
        </w:rPr>
        <w:t>了</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生产全过程</w:t>
      </w:r>
      <w:r>
        <w:rPr>
          <w:rFonts w:cs="Times New Roman" w:asciiTheme="minorEastAsia" w:hAnsiTheme="minorEastAsia"/>
          <w:kern w:val="0"/>
          <w:sz w:val="24"/>
          <w:szCs w:val="24"/>
        </w:rPr>
        <w:t>，员工对自己所生产出来的产品，按照图纸</w:t>
      </w:r>
      <w:r>
        <w:rPr>
          <w:rFonts w:hint="eastAsia" w:cs="Times New Roman" w:asciiTheme="minorEastAsia" w:hAnsiTheme="minorEastAsia"/>
          <w:kern w:val="0"/>
          <w:sz w:val="24"/>
          <w:szCs w:val="24"/>
        </w:rPr>
        <w:t>或</w:t>
      </w:r>
      <w:r>
        <w:rPr>
          <w:rFonts w:cs="Times New Roman" w:asciiTheme="minorEastAsia" w:hAnsiTheme="minorEastAsia"/>
          <w:kern w:val="0"/>
          <w:sz w:val="24"/>
          <w:szCs w:val="24"/>
        </w:rPr>
        <w:t>要求自行进行检验，并作出是否合格的判定且在</w:t>
      </w:r>
      <w:r>
        <w:rPr>
          <w:rFonts w:hint="eastAsia" w:cs="Times New Roman" w:asciiTheme="minorEastAsia" w:hAnsiTheme="minorEastAsia"/>
          <w:kern w:val="0"/>
          <w:sz w:val="24"/>
          <w:szCs w:val="24"/>
        </w:rPr>
        <w:t>检验记录</w:t>
      </w:r>
      <w:r>
        <w:rPr>
          <w:rFonts w:cs="Times New Roman" w:asciiTheme="minorEastAsia" w:hAnsiTheme="minorEastAsia"/>
          <w:kern w:val="0"/>
          <w:sz w:val="24"/>
          <w:szCs w:val="24"/>
        </w:rPr>
        <w:t>上做好相关的自检记录。单元化模块化的生产模式，使</w:t>
      </w:r>
      <w:r>
        <w:rPr>
          <w:rFonts w:hint="eastAsia" w:cs="Times New Roman" w:asciiTheme="minorEastAsia" w:hAnsiTheme="minorEastAsia"/>
          <w:kern w:val="0"/>
          <w:sz w:val="24"/>
          <w:szCs w:val="24"/>
        </w:rPr>
        <w:t>产品</w:t>
      </w:r>
      <w:r>
        <w:rPr>
          <w:rFonts w:cs="Times New Roman" w:asciiTheme="minorEastAsia" w:hAnsiTheme="minorEastAsia"/>
          <w:kern w:val="0"/>
          <w:sz w:val="24"/>
          <w:szCs w:val="24"/>
        </w:rPr>
        <w:t>关键质量环节得以暴露和控制，进而保证</w:t>
      </w:r>
      <w:r>
        <w:rPr>
          <w:rFonts w:hint="eastAsia" w:cs="Times New Roman" w:asciiTheme="minorEastAsia" w:hAnsiTheme="minorEastAsia"/>
          <w:kern w:val="0"/>
          <w:sz w:val="24"/>
          <w:szCs w:val="24"/>
        </w:rPr>
        <w:t>产品</w:t>
      </w:r>
      <w:r>
        <w:rPr>
          <w:rFonts w:cs="Times New Roman" w:asciiTheme="minorEastAsia" w:hAnsiTheme="minorEastAsia"/>
          <w:kern w:val="0"/>
          <w:sz w:val="24"/>
          <w:szCs w:val="24"/>
        </w:rPr>
        <w:t>质量安全</w:t>
      </w:r>
      <w:r>
        <w:rPr>
          <w:rFonts w:hint="eastAsia" w:cs="Times New Roman" w:asciiTheme="minorEastAsia" w:hAnsiTheme="minorEastAsia"/>
          <w:kern w:val="0"/>
          <w:sz w:val="24"/>
          <w:szCs w:val="24"/>
        </w:rPr>
        <w:t>，防范质量安全风险</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 </w:t>
      </w:r>
    </w:p>
    <w:p w14:paraId="638F0FF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制定了质量控制体系，成立了以总经理为最高领导人，质量工程师，材料控制系统、检验与试验控制系统、生产设备控制系统、加工控制系统为组员的质量控制体系结构。并明确了质量控制体系结构及各相关部门职责。</w:t>
      </w:r>
    </w:p>
    <w:p w14:paraId="0F1DE9E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公司编制客户关系管理制度规定了在业务过程中的冲突和风险得到有效预防和处理的要求。当发生与顾客关系重大问题时，规定了制定应急措施进行处理。</w:t>
      </w:r>
    </w:p>
    <w:p w14:paraId="4802AAD6">
      <w:pPr>
        <w:spacing w:line="360" w:lineRule="auto"/>
        <w:ind w:firstLine="480" w:firstLineChars="200"/>
        <w:outlineLvl w:val="0"/>
        <w:rPr>
          <w:rFonts w:cs="Times New Roman" w:asciiTheme="minorEastAsia" w:hAnsiTheme="minorEastAsia"/>
          <w:kern w:val="0"/>
          <w:sz w:val="24"/>
          <w:szCs w:val="24"/>
        </w:rPr>
      </w:pPr>
      <w:bookmarkStart w:id="35" w:name="_Toc14688"/>
      <w:r>
        <w:rPr>
          <w:rFonts w:hint="eastAsia" w:cs="Times New Roman" w:asciiTheme="minorEastAsia" w:hAnsiTheme="minorEastAsia"/>
          <w:kern w:val="0"/>
          <w:sz w:val="24"/>
          <w:szCs w:val="24"/>
        </w:rPr>
        <w:t>三、展望</w:t>
      </w:r>
      <w:bookmarkEnd w:id="35"/>
    </w:p>
    <w:p w14:paraId="715A91E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多年来，我们坚定不移地走合作共赢的发展道路，与众多优秀合作伙伴开展全方位、多形式的合资与合作，在合作中学习，在合作中提高，追求长期发展和互利共赢。我们相信，通过智慧的联合，团队的协作，将帮助我们实现优势互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Narrow">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4DC00">
    <w:pPr>
      <w:pStyle w:val="28"/>
      <w:jc w:val="left"/>
    </w:pPr>
    <w:r>
      <w:drawing>
        <wp:anchor distT="0" distB="0" distL="114300" distR="114300" simplePos="0" relativeHeight="251659264" behindDoc="0" locked="0" layoutInCell="1" allowOverlap="1">
          <wp:simplePos x="0" y="0"/>
          <wp:positionH relativeFrom="column">
            <wp:posOffset>0</wp:posOffset>
          </wp:positionH>
          <wp:positionV relativeFrom="paragraph">
            <wp:posOffset>-33655</wp:posOffset>
          </wp:positionV>
          <wp:extent cx="348615" cy="361950"/>
          <wp:effectExtent l="0" t="0" r="0"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348615" cy="361865"/>
                  </a:xfrm>
                  <a:prstGeom prst="rect">
                    <a:avLst/>
                  </a:prstGeom>
                </pic:spPr>
              </pic:pic>
            </a:graphicData>
          </a:graphic>
        </wp:anchor>
      </w:drawing>
    </w:r>
  </w:p>
  <w:p w14:paraId="63C809BE">
    <w:pPr>
      <w:pStyle w:val="28"/>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5536"/>
    <w:rsid w:val="000001E5"/>
    <w:rsid w:val="00004397"/>
    <w:rsid w:val="00010FA0"/>
    <w:rsid w:val="00036A7A"/>
    <w:rsid w:val="000437A1"/>
    <w:rsid w:val="000519DC"/>
    <w:rsid w:val="00066D0C"/>
    <w:rsid w:val="00093D9A"/>
    <w:rsid w:val="000C3B69"/>
    <w:rsid w:val="000F2948"/>
    <w:rsid w:val="00116ECF"/>
    <w:rsid w:val="00131595"/>
    <w:rsid w:val="00142A31"/>
    <w:rsid w:val="00165DCC"/>
    <w:rsid w:val="00186145"/>
    <w:rsid w:val="001C5C13"/>
    <w:rsid w:val="001F317C"/>
    <w:rsid w:val="0020185A"/>
    <w:rsid w:val="00205BD5"/>
    <w:rsid w:val="00212488"/>
    <w:rsid w:val="00225468"/>
    <w:rsid w:val="00232533"/>
    <w:rsid w:val="00233AAC"/>
    <w:rsid w:val="00234E6C"/>
    <w:rsid w:val="00241399"/>
    <w:rsid w:val="0024604C"/>
    <w:rsid w:val="002827AB"/>
    <w:rsid w:val="002A65AD"/>
    <w:rsid w:val="002B6B4E"/>
    <w:rsid w:val="00330422"/>
    <w:rsid w:val="00337AE2"/>
    <w:rsid w:val="0036767A"/>
    <w:rsid w:val="00377118"/>
    <w:rsid w:val="00397853"/>
    <w:rsid w:val="003C2E66"/>
    <w:rsid w:val="003C2FB7"/>
    <w:rsid w:val="00432FDF"/>
    <w:rsid w:val="004432F6"/>
    <w:rsid w:val="004602B0"/>
    <w:rsid w:val="00463CC3"/>
    <w:rsid w:val="004768A5"/>
    <w:rsid w:val="00485095"/>
    <w:rsid w:val="004978CF"/>
    <w:rsid w:val="004A06E6"/>
    <w:rsid w:val="004A67D2"/>
    <w:rsid w:val="004B21B4"/>
    <w:rsid w:val="00516CB3"/>
    <w:rsid w:val="00554B93"/>
    <w:rsid w:val="005A39A4"/>
    <w:rsid w:val="005A5A6F"/>
    <w:rsid w:val="005D3437"/>
    <w:rsid w:val="00603844"/>
    <w:rsid w:val="00616C80"/>
    <w:rsid w:val="00634892"/>
    <w:rsid w:val="00637B07"/>
    <w:rsid w:val="006644E1"/>
    <w:rsid w:val="00667FBF"/>
    <w:rsid w:val="00671E41"/>
    <w:rsid w:val="00673241"/>
    <w:rsid w:val="00686622"/>
    <w:rsid w:val="006F6F50"/>
    <w:rsid w:val="00703B80"/>
    <w:rsid w:val="00716577"/>
    <w:rsid w:val="00730453"/>
    <w:rsid w:val="00730A7E"/>
    <w:rsid w:val="00736DA1"/>
    <w:rsid w:val="00764B3D"/>
    <w:rsid w:val="00767175"/>
    <w:rsid w:val="00793FD8"/>
    <w:rsid w:val="007B1A38"/>
    <w:rsid w:val="007B75E6"/>
    <w:rsid w:val="00824AF2"/>
    <w:rsid w:val="00880AAF"/>
    <w:rsid w:val="008B2A22"/>
    <w:rsid w:val="008D6DB7"/>
    <w:rsid w:val="008E7DC2"/>
    <w:rsid w:val="009112BB"/>
    <w:rsid w:val="0094693B"/>
    <w:rsid w:val="00951B16"/>
    <w:rsid w:val="00965AD4"/>
    <w:rsid w:val="00966680"/>
    <w:rsid w:val="009811C7"/>
    <w:rsid w:val="00992744"/>
    <w:rsid w:val="009A0384"/>
    <w:rsid w:val="009B3814"/>
    <w:rsid w:val="009F2D15"/>
    <w:rsid w:val="009F5B39"/>
    <w:rsid w:val="009F7CA5"/>
    <w:rsid w:val="009F7FA0"/>
    <w:rsid w:val="00A03CD3"/>
    <w:rsid w:val="00A31629"/>
    <w:rsid w:val="00A322BA"/>
    <w:rsid w:val="00A41920"/>
    <w:rsid w:val="00B1748F"/>
    <w:rsid w:val="00B473DC"/>
    <w:rsid w:val="00B575F2"/>
    <w:rsid w:val="00B65A19"/>
    <w:rsid w:val="00B7013E"/>
    <w:rsid w:val="00B81A74"/>
    <w:rsid w:val="00B9573E"/>
    <w:rsid w:val="00BA0555"/>
    <w:rsid w:val="00BB2768"/>
    <w:rsid w:val="00BD23D5"/>
    <w:rsid w:val="00BE01B5"/>
    <w:rsid w:val="00BF63C4"/>
    <w:rsid w:val="00C5360B"/>
    <w:rsid w:val="00C62CC5"/>
    <w:rsid w:val="00C72D50"/>
    <w:rsid w:val="00C75F8D"/>
    <w:rsid w:val="00C76CCB"/>
    <w:rsid w:val="00C93C36"/>
    <w:rsid w:val="00CD5536"/>
    <w:rsid w:val="00CD5A41"/>
    <w:rsid w:val="00CD6E6A"/>
    <w:rsid w:val="00CF5AE9"/>
    <w:rsid w:val="00D0108B"/>
    <w:rsid w:val="00D43FE8"/>
    <w:rsid w:val="00D56F1C"/>
    <w:rsid w:val="00D76656"/>
    <w:rsid w:val="00D77F15"/>
    <w:rsid w:val="00D958DE"/>
    <w:rsid w:val="00DA3FF1"/>
    <w:rsid w:val="00DC004C"/>
    <w:rsid w:val="00DE4754"/>
    <w:rsid w:val="00E1560D"/>
    <w:rsid w:val="00E2019C"/>
    <w:rsid w:val="00E23FAD"/>
    <w:rsid w:val="00E52188"/>
    <w:rsid w:val="00EA43FF"/>
    <w:rsid w:val="00EC5685"/>
    <w:rsid w:val="00EF7FEC"/>
    <w:rsid w:val="00F02061"/>
    <w:rsid w:val="00F25188"/>
    <w:rsid w:val="00F67137"/>
    <w:rsid w:val="00F72C6E"/>
    <w:rsid w:val="00F73F58"/>
    <w:rsid w:val="00F935DB"/>
    <w:rsid w:val="00FB177C"/>
    <w:rsid w:val="00FB3BD2"/>
    <w:rsid w:val="00FF0733"/>
    <w:rsid w:val="01915353"/>
    <w:rsid w:val="03AF34A2"/>
    <w:rsid w:val="04731B5A"/>
    <w:rsid w:val="05205355"/>
    <w:rsid w:val="060374E1"/>
    <w:rsid w:val="099C3C23"/>
    <w:rsid w:val="0D6E4855"/>
    <w:rsid w:val="0E92577A"/>
    <w:rsid w:val="15E4163C"/>
    <w:rsid w:val="1FE32AA5"/>
    <w:rsid w:val="223775AC"/>
    <w:rsid w:val="22A16BC1"/>
    <w:rsid w:val="23DB1D7E"/>
    <w:rsid w:val="260B328E"/>
    <w:rsid w:val="277B0325"/>
    <w:rsid w:val="28C07367"/>
    <w:rsid w:val="2D8D1F8C"/>
    <w:rsid w:val="2E5A64A6"/>
    <w:rsid w:val="2F91426B"/>
    <w:rsid w:val="31726B84"/>
    <w:rsid w:val="48D811F5"/>
    <w:rsid w:val="4E5A19FE"/>
    <w:rsid w:val="52631F37"/>
    <w:rsid w:val="5965519C"/>
    <w:rsid w:val="5F7610AD"/>
    <w:rsid w:val="695E7353"/>
    <w:rsid w:val="69D13148"/>
    <w:rsid w:val="6C45775B"/>
    <w:rsid w:val="732F36FA"/>
    <w:rsid w:val="75332B1D"/>
    <w:rsid w:val="784810B3"/>
    <w:rsid w:val="78746025"/>
    <w:rsid w:val="79420B1C"/>
    <w:rsid w:val="7A2A625A"/>
    <w:rsid w:val="7A96222C"/>
    <w:rsid w:val="7B925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qFormat="1" w:uiPriority="99" w:semiHidden="0"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60"/>
    <w:qFormat/>
    <w:uiPriority w:val="9"/>
    <w:pPr>
      <w:keepNext/>
      <w:keepLines/>
      <w:spacing w:before="60" w:after="60"/>
      <w:outlineLvl w:val="3"/>
    </w:pPr>
    <w:rPr>
      <w:rFonts w:ascii="Cambria" w:hAnsi="Cambria" w:eastAsia="宋体" w:cs="Times New Roman"/>
      <w:b/>
      <w:bCs/>
      <w:szCs w:val="28"/>
    </w:rPr>
  </w:style>
  <w:style w:type="paragraph" w:styleId="6">
    <w:name w:val="heading 5"/>
    <w:basedOn w:val="1"/>
    <w:next w:val="1"/>
    <w:link w:val="61"/>
    <w:qFormat/>
    <w:uiPriority w:val="9"/>
    <w:pPr>
      <w:keepNext/>
      <w:keepLines/>
      <w:spacing w:before="60" w:after="60"/>
      <w:outlineLvl w:val="4"/>
    </w:pPr>
    <w:rPr>
      <w:rFonts w:ascii="Calibri" w:hAnsi="Calibri" w:eastAsia="宋体" w:cs="Times New Roman"/>
      <w:b/>
      <w:bCs/>
      <w:szCs w:val="28"/>
    </w:rPr>
  </w:style>
  <w:style w:type="paragraph" w:styleId="7">
    <w:name w:val="heading 6"/>
    <w:basedOn w:val="1"/>
    <w:next w:val="1"/>
    <w:link w:val="62"/>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3"/>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style>
  <w:style w:type="paragraph" w:styleId="10">
    <w:name w:val="Note Heading"/>
    <w:basedOn w:val="1"/>
    <w:next w:val="1"/>
    <w:link w:val="72"/>
    <w:qFormat/>
    <w:uiPriority w:val="99"/>
    <w:pPr>
      <w:jc w:val="center"/>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Document Map"/>
    <w:basedOn w:val="1"/>
    <w:link w:val="77"/>
    <w:unhideWhenUsed/>
    <w:qFormat/>
    <w:uiPriority w:val="99"/>
    <w:rPr>
      <w:rFonts w:ascii="宋体" w:hAnsi="Calibri" w:eastAsia="宋体" w:cs="Times New Roman"/>
      <w:sz w:val="18"/>
      <w:szCs w:val="18"/>
    </w:rPr>
  </w:style>
  <w:style w:type="paragraph" w:styleId="14">
    <w:name w:val="toa heading"/>
    <w:basedOn w:val="1"/>
    <w:next w:val="1"/>
    <w:semiHidden/>
    <w:qFormat/>
    <w:uiPriority w:val="0"/>
    <w:pPr>
      <w:spacing w:before="120"/>
    </w:pPr>
    <w:rPr>
      <w:rFonts w:ascii="Arial" w:hAnsi="Arial" w:eastAsia="宋体" w:cs="Times New Roman"/>
      <w:b/>
      <w:bCs/>
      <w:szCs w:val="21"/>
    </w:rPr>
  </w:style>
  <w:style w:type="paragraph" w:styleId="15">
    <w:name w:val="annotation text"/>
    <w:basedOn w:val="1"/>
    <w:link w:val="53"/>
    <w:unhideWhenUsed/>
    <w:qFormat/>
    <w:uiPriority w:val="99"/>
    <w:pPr>
      <w:jc w:val="left"/>
    </w:pPr>
  </w:style>
  <w:style w:type="paragraph" w:styleId="16">
    <w:name w:val="Salutation"/>
    <w:basedOn w:val="1"/>
    <w:next w:val="1"/>
    <w:link w:val="64"/>
    <w:qFormat/>
    <w:uiPriority w:val="99"/>
    <w:rPr>
      <w:rFonts w:ascii="Times New Roman" w:hAnsi="Times New Roman" w:eastAsia="宋体" w:cs="Times New Roman"/>
      <w:szCs w:val="21"/>
    </w:rPr>
  </w:style>
  <w:style w:type="paragraph" w:styleId="17">
    <w:name w:val="List Bullet 3"/>
    <w:basedOn w:val="1"/>
    <w:qFormat/>
    <w:uiPriority w:val="0"/>
    <w:pPr>
      <w:tabs>
        <w:tab w:val="left" w:pos="1200"/>
      </w:tabs>
    </w:pPr>
    <w:rPr>
      <w:rFonts w:ascii="Times New Roman" w:hAnsi="Times New Roman" w:eastAsia="宋体" w:cs="Times New Roman"/>
      <w:szCs w:val="21"/>
    </w:rPr>
  </w:style>
  <w:style w:type="paragraph" w:styleId="18">
    <w:name w:val="Body Text"/>
    <w:basedOn w:val="1"/>
    <w:link w:val="69"/>
    <w:qFormat/>
    <w:uiPriority w:val="99"/>
    <w:pPr>
      <w:spacing w:after="120"/>
    </w:pPr>
    <w:rPr>
      <w:rFonts w:ascii="Times New Roman" w:hAnsi="Times New Roman" w:eastAsia="宋体" w:cs="Times New Roman"/>
      <w:szCs w:val="21"/>
    </w:rPr>
  </w:style>
  <w:style w:type="paragraph" w:styleId="19">
    <w:name w:val="Body Text Indent"/>
    <w:basedOn w:val="1"/>
    <w:qFormat/>
    <w:uiPriority w:val="0"/>
    <w:pPr>
      <w:spacing w:line="480" w:lineRule="exact"/>
      <w:ind w:firstLine="480" w:firstLineChars="200"/>
    </w:pPr>
    <w:rPr>
      <w:sz w:val="24"/>
    </w:rPr>
  </w:style>
  <w:style w:type="paragraph" w:styleId="20">
    <w:name w:val="toc 5"/>
    <w:basedOn w:val="1"/>
    <w:next w:val="1"/>
    <w:unhideWhenUsed/>
    <w:qFormat/>
    <w:uiPriority w:val="39"/>
    <w:pPr>
      <w:ind w:left="1680" w:leftChars="800"/>
    </w:pPr>
  </w:style>
  <w:style w:type="paragraph" w:styleId="21">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2">
    <w:name w:val="Plain Text"/>
    <w:basedOn w:val="1"/>
    <w:link w:val="67"/>
    <w:qFormat/>
    <w:uiPriority w:val="0"/>
    <w:rPr>
      <w:rFonts w:ascii="宋体" w:hAnsi="Courier New" w:eastAsia="宋体" w:cs="Times New Roman"/>
      <w:szCs w:val="20"/>
    </w:rPr>
  </w:style>
  <w:style w:type="paragraph" w:styleId="23">
    <w:name w:val="toc 8"/>
    <w:basedOn w:val="1"/>
    <w:next w:val="1"/>
    <w:unhideWhenUsed/>
    <w:qFormat/>
    <w:uiPriority w:val="39"/>
    <w:pPr>
      <w:ind w:left="2940" w:leftChars="1400"/>
    </w:pPr>
  </w:style>
  <w:style w:type="paragraph" w:styleId="24">
    <w:name w:val="Date"/>
    <w:basedOn w:val="1"/>
    <w:next w:val="1"/>
    <w:link w:val="71"/>
    <w:qFormat/>
    <w:uiPriority w:val="99"/>
    <w:pPr>
      <w:ind w:left="100" w:leftChars="2500"/>
    </w:pPr>
    <w:rPr>
      <w:rFonts w:ascii="Times New Roman" w:hAnsi="Times New Roman" w:eastAsia="宋体" w:cs="Times New Roman"/>
      <w:szCs w:val="21"/>
    </w:rPr>
  </w:style>
  <w:style w:type="paragraph" w:styleId="25">
    <w:name w:val="endnote text"/>
    <w:basedOn w:val="1"/>
    <w:link w:val="81"/>
    <w:unhideWhenUsed/>
    <w:qFormat/>
    <w:uiPriority w:val="99"/>
    <w:pPr>
      <w:widowControl/>
      <w:snapToGrid w:val="0"/>
      <w:jc w:val="left"/>
    </w:pPr>
    <w:rPr>
      <w:rFonts w:ascii="宋体" w:hAnsi="宋体" w:eastAsia="宋体" w:cs="宋体"/>
      <w:kern w:val="0"/>
      <w:szCs w:val="24"/>
    </w:rPr>
  </w:style>
  <w:style w:type="paragraph" w:styleId="26">
    <w:name w:val="Balloon Text"/>
    <w:basedOn w:val="1"/>
    <w:link w:val="55"/>
    <w:unhideWhenUsed/>
    <w:qFormat/>
    <w:uiPriority w:val="99"/>
    <w:rPr>
      <w:sz w:val="18"/>
      <w:szCs w:val="18"/>
    </w:rPr>
  </w:style>
  <w:style w:type="paragraph" w:styleId="27">
    <w:name w:val="footer"/>
    <w:basedOn w:val="1"/>
    <w:link w:val="47"/>
    <w:unhideWhenUsed/>
    <w:qFormat/>
    <w:uiPriority w:val="99"/>
    <w:pPr>
      <w:tabs>
        <w:tab w:val="center" w:pos="4153"/>
        <w:tab w:val="right" w:pos="8306"/>
      </w:tabs>
      <w:snapToGrid w:val="0"/>
      <w:jc w:val="left"/>
    </w:pPr>
    <w:rPr>
      <w:sz w:val="18"/>
      <w:szCs w:val="18"/>
    </w:rPr>
  </w:style>
  <w:style w:type="paragraph" w:styleId="2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style>
  <w:style w:type="paragraph" w:styleId="30">
    <w:name w:val="toc 4"/>
    <w:basedOn w:val="1"/>
    <w:next w:val="1"/>
    <w:unhideWhenUsed/>
    <w:qFormat/>
    <w:uiPriority w:val="39"/>
    <w:pPr>
      <w:ind w:left="1260" w:leftChars="600"/>
    </w:pPr>
  </w:style>
  <w:style w:type="paragraph" w:styleId="31">
    <w:name w:val="toc 6"/>
    <w:basedOn w:val="1"/>
    <w:next w:val="1"/>
    <w:unhideWhenUsed/>
    <w:qFormat/>
    <w:uiPriority w:val="39"/>
    <w:pPr>
      <w:ind w:left="2100" w:leftChars="1000"/>
    </w:p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36">
    <w:name w:val="Title"/>
    <w:basedOn w:val="1"/>
    <w:next w:val="1"/>
    <w:link w:val="79"/>
    <w:qFormat/>
    <w:uiPriority w:val="0"/>
    <w:pPr>
      <w:spacing w:before="240" w:after="60"/>
      <w:jc w:val="center"/>
      <w:outlineLvl w:val="0"/>
    </w:pPr>
    <w:rPr>
      <w:rFonts w:eastAsia="宋体" w:asciiTheme="majorHAnsi" w:hAnsiTheme="majorHAnsi" w:cstheme="majorBidi"/>
      <w:b/>
      <w:bCs/>
      <w:sz w:val="32"/>
      <w:szCs w:val="32"/>
    </w:rPr>
  </w:style>
  <w:style w:type="paragraph" w:styleId="37">
    <w:name w:val="annotation subject"/>
    <w:basedOn w:val="15"/>
    <w:next w:val="15"/>
    <w:link w:val="54"/>
    <w:unhideWhenUsed/>
    <w:qFormat/>
    <w:uiPriority w:val="99"/>
    <w:rPr>
      <w:b/>
      <w:bCs/>
    </w:rPr>
  </w:style>
  <w:style w:type="paragraph" w:styleId="38">
    <w:name w:val="Body Text First Indent 2"/>
    <w:basedOn w:val="19"/>
    <w:unhideWhenUsed/>
    <w:qFormat/>
    <w:uiPriority w:val="99"/>
    <w:pPr>
      <w:ind w:firstLine="420"/>
    </w:p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endnote reference"/>
    <w:basedOn w:val="41"/>
    <w:unhideWhenUsed/>
    <w:qFormat/>
    <w:uiPriority w:val="99"/>
    <w:rPr>
      <w:vertAlign w:val="superscript"/>
    </w:rPr>
  </w:style>
  <w:style w:type="character" w:styleId="43">
    <w:name w:val="page number"/>
    <w:basedOn w:val="41"/>
    <w:qFormat/>
    <w:uiPriority w:val="0"/>
  </w:style>
  <w:style w:type="character" w:styleId="44">
    <w:name w:val="Hyperlink"/>
    <w:basedOn w:val="41"/>
    <w:unhideWhenUsed/>
    <w:qFormat/>
    <w:uiPriority w:val="99"/>
    <w:rPr>
      <w:color w:val="0563C1" w:themeColor="hyperlink"/>
      <w:u w:val="single"/>
    </w:rPr>
  </w:style>
  <w:style w:type="character" w:styleId="45">
    <w:name w:val="annotation reference"/>
    <w:basedOn w:val="41"/>
    <w:unhideWhenUsed/>
    <w:qFormat/>
    <w:uiPriority w:val="0"/>
    <w:rPr>
      <w:sz w:val="21"/>
      <w:szCs w:val="21"/>
    </w:rPr>
  </w:style>
  <w:style w:type="character" w:customStyle="1" w:styleId="46">
    <w:name w:val="页眉 Char"/>
    <w:basedOn w:val="41"/>
    <w:link w:val="28"/>
    <w:qFormat/>
    <w:uiPriority w:val="99"/>
    <w:rPr>
      <w:sz w:val="18"/>
      <w:szCs w:val="18"/>
    </w:rPr>
  </w:style>
  <w:style w:type="character" w:customStyle="1" w:styleId="47">
    <w:name w:val="页脚 Char"/>
    <w:basedOn w:val="41"/>
    <w:link w:val="27"/>
    <w:qFormat/>
    <w:uiPriority w:val="99"/>
    <w:rPr>
      <w:sz w:val="18"/>
      <w:szCs w:val="18"/>
    </w:rPr>
  </w:style>
  <w:style w:type="paragraph" w:customStyle="1" w:styleId="48">
    <w:name w:val="aSTL正文"/>
    <w:basedOn w:val="1"/>
    <w:link w:val="49"/>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49">
    <w:name w:val="aSTL正文 Char"/>
    <w:link w:val="48"/>
    <w:qFormat/>
    <w:uiPriority w:val="0"/>
    <w:rPr>
      <w:rFonts w:ascii="Calibri" w:hAnsi="Calibri" w:eastAsia="宋体" w:cs="Times New Roman"/>
      <w:kern w:val="0"/>
      <w:sz w:val="24"/>
      <w:szCs w:val="20"/>
      <w:lang w:val="zh-CN" w:eastAsia="zh-CN"/>
    </w:rPr>
  </w:style>
  <w:style w:type="paragraph" w:customStyle="1" w:styleId="50">
    <w:name w:val="4.1.1.1.1"/>
    <w:basedOn w:val="1"/>
    <w:link w:val="51"/>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51">
    <w:name w:val="4.1.1.1.1 Char"/>
    <w:link w:val="50"/>
    <w:qFormat/>
    <w:uiPriority w:val="0"/>
    <w:rPr>
      <w:rFonts w:ascii="宋体" w:hAnsi="宋体" w:eastAsia="宋体" w:cs="Times New Roman"/>
      <w:b/>
      <w:color w:val="000000"/>
      <w:kern w:val="0"/>
      <w:sz w:val="24"/>
      <w:szCs w:val="24"/>
      <w:lang w:val="zh-CN" w:eastAsia="zh-CN"/>
    </w:rPr>
  </w:style>
  <w:style w:type="paragraph" w:styleId="52">
    <w:name w:val="List Paragraph"/>
    <w:basedOn w:val="1"/>
    <w:qFormat/>
    <w:uiPriority w:val="34"/>
    <w:pPr>
      <w:ind w:firstLine="420" w:firstLineChars="200"/>
    </w:pPr>
    <w:rPr>
      <w:rFonts w:ascii="Calibri" w:hAnsi="Calibri" w:eastAsia="宋体" w:cs="Times New Roman"/>
    </w:rPr>
  </w:style>
  <w:style w:type="character" w:customStyle="1" w:styleId="53">
    <w:name w:val="批注文字 Char"/>
    <w:basedOn w:val="41"/>
    <w:link w:val="15"/>
    <w:qFormat/>
    <w:uiPriority w:val="99"/>
  </w:style>
  <w:style w:type="character" w:customStyle="1" w:styleId="54">
    <w:name w:val="批注主题 Char"/>
    <w:basedOn w:val="53"/>
    <w:link w:val="37"/>
    <w:qFormat/>
    <w:uiPriority w:val="99"/>
    <w:rPr>
      <w:b/>
      <w:bCs/>
    </w:rPr>
  </w:style>
  <w:style w:type="character" w:customStyle="1" w:styleId="55">
    <w:name w:val="批注框文本 Char"/>
    <w:basedOn w:val="41"/>
    <w:link w:val="26"/>
    <w:qFormat/>
    <w:uiPriority w:val="99"/>
    <w:rPr>
      <w:sz w:val="18"/>
      <w:szCs w:val="18"/>
    </w:rPr>
  </w:style>
  <w:style w:type="character" w:customStyle="1" w:styleId="56">
    <w:name w:val="标题 1 Char"/>
    <w:basedOn w:val="41"/>
    <w:link w:val="2"/>
    <w:qFormat/>
    <w:uiPriority w:val="99"/>
    <w:rPr>
      <w:b/>
      <w:bCs/>
      <w:kern w:val="44"/>
      <w:sz w:val="44"/>
      <w:szCs w:val="44"/>
    </w:rPr>
  </w:style>
  <w:style w:type="paragraph" w:customStyle="1" w:styleId="5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8">
    <w:name w:val="标题 2 Char"/>
    <w:basedOn w:val="41"/>
    <w:link w:val="3"/>
    <w:qFormat/>
    <w:uiPriority w:val="0"/>
    <w:rPr>
      <w:rFonts w:asciiTheme="majorHAnsi" w:hAnsiTheme="majorHAnsi" w:eastAsiaTheme="majorEastAsia" w:cstheme="majorBidi"/>
      <w:b/>
      <w:bCs/>
      <w:sz w:val="32"/>
      <w:szCs w:val="32"/>
    </w:rPr>
  </w:style>
  <w:style w:type="character" w:customStyle="1" w:styleId="59">
    <w:name w:val="标题 3 Char"/>
    <w:basedOn w:val="41"/>
    <w:link w:val="4"/>
    <w:qFormat/>
    <w:uiPriority w:val="9"/>
    <w:rPr>
      <w:rFonts w:ascii="Calibri" w:hAnsi="Calibri" w:eastAsia="宋体" w:cs="Times New Roman"/>
      <w:b/>
      <w:bCs/>
      <w:szCs w:val="32"/>
    </w:rPr>
  </w:style>
  <w:style w:type="character" w:customStyle="1" w:styleId="60">
    <w:name w:val="标题 4 Char"/>
    <w:basedOn w:val="41"/>
    <w:link w:val="5"/>
    <w:qFormat/>
    <w:uiPriority w:val="9"/>
    <w:rPr>
      <w:rFonts w:ascii="Cambria" w:hAnsi="Cambria" w:eastAsia="宋体" w:cs="Times New Roman"/>
      <w:b/>
      <w:bCs/>
      <w:szCs w:val="28"/>
    </w:rPr>
  </w:style>
  <w:style w:type="character" w:customStyle="1" w:styleId="61">
    <w:name w:val="标题 5 Char"/>
    <w:basedOn w:val="41"/>
    <w:link w:val="6"/>
    <w:qFormat/>
    <w:uiPriority w:val="9"/>
    <w:rPr>
      <w:rFonts w:ascii="Calibri" w:hAnsi="Calibri" w:eastAsia="宋体" w:cs="Times New Roman"/>
      <w:b/>
      <w:bCs/>
      <w:szCs w:val="28"/>
    </w:rPr>
  </w:style>
  <w:style w:type="character" w:customStyle="1" w:styleId="62">
    <w:name w:val="标题 6 Char"/>
    <w:basedOn w:val="41"/>
    <w:link w:val="7"/>
    <w:qFormat/>
    <w:uiPriority w:val="9"/>
    <w:rPr>
      <w:rFonts w:eastAsia="宋体" w:asciiTheme="majorHAnsi" w:hAnsiTheme="majorHAnsi" w:cstheme="majorBidi"/>
      <w:b/>
      <w:bCs/>
      <w:kern w:val="0"/>
      <w:szCs w:val="24"/>
    </w:rPr>
  </w:style>
  <w:style w:type="character" w:customStyle="1" w:styleId="63">
    <w:name w:val="标题 7 Char"/>
    <w:basedOn w:val="41"/>
    <w:link w:val="8"/>
    <w:qFormat/>
    <w:uiPriority w:val="9"/>
    <w:rPr>
      <w:rFonts w:ascii="宋体" w:hAnsi="宋体" w:eastAsia="宋体" w:cs="宋体"/>
      <w:b/>
      <w:bCs/>
      <w:kern w:val="0"/>
      <w:sz w:val="24"/>
      <w:szCs w:val="24"/>
    </w:rPr>
  </w:style>
  <w:style w:type="character" w:customStyle="1" w:styleId="64">
    <w:name w:val="称呼 Char"/>
    <w:basedOn w:val="41"/>
    <w:link w:val="16"/>
    <w:qFormat/>
    <w:uiPriority w:val="99"/>
    <w:rPr>
      <w:rFonts w:ascii="Times New Roman" w:hAnsi="Times New Roman" w:eastAsia="宋体" w:cs="Times New Roman"/>
      <w:szCs w:val="21"/>
    </w:rPr>
  </w:style>
  <w:style w:type="character" w:customStyle="1" w:styleId="65">
    <w:name w:val="notnullcss1"/>
    <w:basedOn w:val="41"/>
    <w:qFormat/>
    <w:uiPriority w:val="99"/>
    <w:rPr>
      <w:rFonts w:eastAsia="宋体" w:cs="Times New Roman"/>
      <w:color w:val="FF0000"/>
      <w:kern w:val="2"/>
      <w:sz w:val="24"/>
      <w:szCs w:val="24"/>
      <w:lang w:val="en-US" w:eastAsia="zh-CN" w:bidi="ar-SA"/>
    </w:rPr>
  </w:style>
  <w:style w:type="paragraph" w:customStyle="1" w:styleId="66">
    <w:name w:val="xl61"/>
    <w:basedOn w:val="1"/>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7">
    <w:name w:val="纯文本 Char"/>
    <w:basedOn w:val="41"/>
    <w:link w:val="22"/>
    <w:qFormat/>
    <w:uiPriority w:val="0"/>
    <w:rPr>
      <w:rFonts w:ascii="宋体" w:hAnsi="Courier New" w:eastAsia="宋体" w:cs="Times New Roman"/>
      <w:szCs w:val="20"/>
    </w:rPr>
  </w:style>
  <w:style w:type="character" w:customStyle="1" w:styleId="68">
    <w:name w:val="headline-content2"/>
    <w:basedOn w:val="41"/>
    <w:qFormat/>
    <w:uiPriority w:val="0"/>
    <w:rPr>
      <w:rFonts w:eastAsia="宋体" w:cs="Times New Roman"/>
      <w:kern w:val="2"/>
      <w:sz w:val="24"/>
      <w:szCs w:val="24"/>
      <w:lang w:val="en-US" w:eastAsia="zh-CN" w:bidi="ar-SA"/>
    </w:rPr>
  </w:style>
  <w:style w:type="character" w:customStyle="1" w:styleId="69">
    <w:name w:val="正文文本 Char"/>
    <w:basedOn w:val="41"/>
    <w:link w:val="18"/>
    <w:qFormat/>
    <w:uiPriority w:val="99"/>
    <w:rPr>
      <w:rFonts w:ascii="Times New Roman" w:hAnsi="Times New Roman" w:eastAsia="宋体" w:cs="Times New Roman"/>
      <w:szCs w:val="21"/>
    </w:rPr>
  </w:style>
  <w:style w:type="paragraph" w:customStyle="1" w:styleId="70">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71">
    <w:name w:val="日期 Char"/>
    <w:basedOn w:val="41"/>
    <w:link w:val="24"/>
    <w:qFormat/>
    <w:uiPriority w:val="99"/>
    <w:rPr>
      <w:rFonts w:ascii="Times New Roman" w:hAnsi="Times New Roman" w:eastAsia="宋体" w:cs="Times New Roman"/>
      <w:szCs w:val="21"/>
    </w:rPr>
  </w:style>
  <w:style w:type="character" w:customStyle="1" w:styleId="72">
    <w:name w:val="注释标题 Char"/>
    <w:basedOn w:val="41"/>
    <w:link w:val="10"/>
    <w:qFormat/>
    <w:uiPriority w:val="99"/>
    <w:rPr>
      <w:rFonts w:ascii="Times New Roman" w:hAnsi="Times New Roman" w:eastAsia="宋体" w:cs="Times New Roman"/>
      <w:szCs w:val="21"/>
    </w:rPr>
  </w:style>
  <w:style w:type="paragraph" w:customStyle="1" w:styleId="73">
    <w:name w:val="标题5"/>
    <w:basedOn w:val="1"/>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4">
    <w:name w:val="修订1"/>
    <w:hidden/>
    <w:semiHidden/>
    <w:qFormat/>
    <w:uiPriority w:val="99"/>
    <w:rPr>
      <w:rFonts w:ascii="Calibri" w:hAnsi="Calibri" w:eastAsia="宋体" w:cs="Times New Roman"/>
      <w:kern w:val="2"/>
      <w:sz w:val="21"/>
      <w:szCs w:val="22"/>
      <w:lang w:val="en-US" w:eastAsia="zh-CN" w:bidi="ar-SA"/>
    </w:rPr>
  </w:style>
  <w:style w:type="character" w:customStyle="1" w:styleId="75">
    <w:name w:val="正文的样式 Char"/>
    <w:basedOn w:val="41"/>
    <w:link w:val="76"/>
    <w:qFormat/>
    <w:uiPriority w:val="0"/>
    <w:rPr>
      <w:szCs w:val="24"/>
    </w:rPr>
  </w:style>
  <w:style w:type="paragraph" w:customStyle="1" w:styleId="76">
    <w:name w:val="正文的样式"/>
    <w:basedOn w:val="1"/>
    <w:link w:val="75"/>
    <w:qFormat/>
    <w:uiPriority w:val="0"/>
    <w:pPr>
      <w:spacing w:before="100" w:after="100"/>
    </w:pPr>
    <w:rPr>
      <w:szCs w:val="24"/>
    </w:rPr>
  </w:style>
  <w:style w:type="character" w:customStyle="1" w:styleId="77">
    <w:name w:val="文档结构图 Char"/>
    <w:basedOn w:val="41"/>
    <w:link w:val="13"/>
    <w:semiHidden/>
    <w:qFormat/>
    <w:uiPriority w:val="99"/>
    <w:rPr>
      <w:rFonts w:ascii="宋体" w:hAnsi="Calibri" w:eastAsia="宋体" w:cs="Times New Roman"/>
      <w:sz w:val="18"/>
      <w:szCs w:val="18"/>
    </w:rPr>
  </w:style>
  <w:style w:type="character" w:styleId="78">
    <w:name w:val="Placeholder Text"/>
    <w:basedOn w:val="41"/>
    <w:semiHidden/>
    <w:qFormat/>
    <w:uiPriority w:val="99"/>
    <w:rPr>
      <w:color w:val="auto"/>
    </w:rPr>
  </w:style>
  <w:style w:type="character" w:customStyle="1" w:styleId="79">
    <w:name w:val="标题 Char"/>
    <w:basedOn w:val="41"/>
    <w:link w:val="36"/>
    <w:qFormat/>
    <w:uiPriority w:val="0"/>
    <w:rPr>
      <w:rFonts w:eastAsia="宋体" w:asciiTheme="majorHAnsi" w:hAnsiTheme="majorHAnsi" w:cstheme="majorBidi"/>
      <w:b/>
      <w:bCs/>
      <w:sz w:val="32"/>
      <w:szCs w:val="32"/>
    </w:rPr>
  </w:style>
  <w:style w:type="paragraph" w:styleId="8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1">
    <w:name w:val="尾注文本 Char"/>
    <w:basedOn w:val="41"/>
    <w:link w:val="25"/>
    <w:semiHidden/>
    <w:qFormat/>
    <w:uiPriority w:val="99"/>
    <w:rPr>
      <w:rFonts w:ascii="宋体" w:hAnsi="宋体" w:eastAsia="宋体" w:cs="宋体"/>
      <w:kern w:val="0"/>
      <w:szCs w:val="24"/>
    </w:rPr>
  </w:style>
  <w:style w:type="character" w:customStyle="1" w:styleId="82">
    <w:name w:val="批注主题 Char1"/>
    <w:basedOn w:val="53"/>
    <w:semiHidden/>
    <w:qFormat/>
    <w:uiPriority w:val="99"/>
    <w:rPr>
      <w:rFonts w:ascii="Times New Roman" w:hAnsi="Times New Roman" w:eastAsia="宋体" w:cs="Times New Roman"/>
      <w:b/>
      <w:bCs/>
      <w:szCs w:val="21"/>
    </w:rPr>
  </w:style>
  <w:style w:type="character" w:customStyle="1" w:styleId="83">
    <w:name w:val="span_"/>
    <w:basedOn w:val="41"/>
    <w:qFormat/>
    <w:uiPriority w:val="0"/>
  </w:style>
  <w:style w:type="paragraph" w:customStyle="1" w:styleId="84">
    <w:name w:val="标题  3"/>
    <w:basedOn w:val="1"/>
    <w:next w:val="1"/>
    <w:link w:val="85"/>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5">
    <w:name w:val="标题  3 Char"/>
    <w:basedOn w:val="41"/>
    <w:link w:val="84"/>
    <w:qFormat/>
    <w:uiPriority w:val="0"/>
    <w:rPr>
      <w:rFonts w:ascii="Times New Roman" w:hAnsi="Times New Roman" w:eastAsia="宋体" w:cs="Times New Roman"/>
      <w:b/>
      <w:szCs w:val="24"/>
    </w:rPr>
  </w:style>
  <w:style w:type="paragraph" w:customStyle="1" w:styleId="86">
    <w:name w:val="列出段落1"/>
    <w:basedOn w:val="1"/>
    <w:qFormat/>
    <w:uiPriority w:val="0"/>
    <w:pPr>
      <w:ind w:firstLine="420" w:firstLineChars="200"/>
    </w:pPr>
    <w:rPr>
      <w:rFonts w:ascii="Calibri" w:hAnsi="Calibri" w:eastAsia="宋体" w:cs="Calibri"/>
      <w:szCs w:val="21"/>
    </w:rPr>
  </w:style>
  <w:style w:type="paragraph" w:customStyle="1" w:styleId="87">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paragraph" w:customStyle="1" w:styleId="8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table" w:customStyle="1" w:styleId="8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0">
    <w:name w:val="Table Paragraph"/>
    <w:basedOn w:val="1"/>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91">
    <w:name w:val="前言标题"/>
    <w:basedOn w:val="3"/>
    <w:link w:val="93"/>
    <w:qFormat/>
    <w:uiPriority w:val="0"/>
    <w:pPr>
      <w:spacing w:before="0" w:after="0" w:line="566" w:lineRule="auto"/>
      <w:jc w:val="left"/>
      <w:outlineLvl w:val="9"/>
    </w:pPr>
    <w:rPr>
      <w:rFonts w:ascii="Times New Roman" w:hAnsi="Times New Roman" w:eastAsia="黑体" w:cs="Times New Roman"/>
      <w:b w:val="0"/>
      <w:sz w:val="21"/>
    </w:rPr>
  </w:style>
  <w:style w:type="paragraph" w:customStyle="1" w:styleId="92">
    <w:name w:val="前言大标题"/>
    <w:basedOn w:val="2"/>
    <w:link w:val="94"/>
    <w:qFormat/>
    <w:uiPriority w:val="0"/>
    <w:pPr>
      <w:spacing w:before="0" w:after="680" w:line="283" w:lineRule="auto"/>
      <w:ind w:firstLine="200" w:firstLineChars="200"/>
      <w:jc w:val="center"/>
      <w:outlineLvl w:val="9"/>
    </w:pPr>
    <w:rPr>
      <w:rFonts w:ascii="Times New Roman" w:hAnsi="Times New Roman" w:eastAsia="黑体" w:cs="Times New Roman"/>
      <w:b w:val="0"/>
      <w:sz w:val="32"/>
    </w:rPr>
  </w:style>
  <w:style w:type="character" w:customStyle="1" w:styleId="93">
    <w:name w:val="前言标题 Char"/>
    <w:basedOn w:val="41"/>
    <w:link w:val="91"/>
    <w:qFormat/>
    <w:uiPriority w:val="0"/>
    <w:rPr>
      <w:rFonts w:eastAsia="黑体"/>
      <w:bCs/>
      <w:kern w:val="2"/>
      <w:sz w:val="21"/>
      <w:szCs w:val="32"/>
    </w:rPr>
  </w:style>
  <w:style w:type="character" w:customStyle="1" w:styleId="94">
    <w:name w:val="前言大标题 Char"/>
    <w:link w:val="92"/>
    <w:qFormat/>
    <w:uiPriority w:val="0"/>
    <w:rPr>
      <w:rFonts w:eastAsia="黑体"/>
      <w:bCs/>
      <w:kern w:val="44"/>
      <w:sz w:val="32"/>
      <w:szCs w:val="44"/>
    </w:rPr>
  </w:style>
  <w:style w:type="paragraph" w:customStyle="1" w:styleId="95">
    <w:name w:val="表格内"/>
    <w:basedOn w:val="1"/>
    <w:qFormat/>
    <w:uiPriority w:val="99"/>
    <w:pPr>
      <w:widowControl/>
      <w:adjustRightInd w:val="0"/>
      <w:snapToGrid w:val="0"/>
      <w:jc w:val="center"/>
    </w:pPr>
    <w:rPr>
      <w:rFonts w:ascii="Times New Roman" w:hAnsi="Times New Roman"/>
      <w:kern w:val="0"/>
      <w:szCs w:val="20"/>
    </w:rPr>
  </w:style>
  <w:style w:type="paragraph" w:customStyle="1" w:styleId="96">
    <w:name w:val="WPSOffice手动目录 1"/>
    <w:qFormat/>
    <w:uiPriority w:val="0"/>
    <w:rPr>
      <w:rFonts w:ascii="Times New Roman" w:hAnsi="Times New Roman" w:eastAsia="宋体" w:cs="Times New Roman"/>
      <w:lang w:val="en-US" w:eastAsia="zh-CN" w:bidi="ar-SA"/>
    </w:rPr>
  </w:style>
  <w:style w:type="paragraph" w:customStyle="1" w:styleId="97">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27DD6D51-58E5-4C91-B802-1A232FDF5948}">
  <ds:schemaRefs/>
</ds:datastoreItem>
</file>

<file path=customXml/itemProps2.xml><?xml version="1.0" encoding="utf-8"?>
<ds:datastoreItem xmlns:ds="http://schemas.openxmlformats.org/officeDocument/2006/customXml" ds:itemID="{C5D7E463-A10F-494B-AAC3-043C8AA8F383}">
  <ds:schemaRefs/>
</ds:datastoreItem>
</file>

<file path=customXml/itemProps3.xml><?xml version="1.0" encoding="utf-8"?>
<ds:datastoreItem xmlns:ds="http://schemas.openxmlformats.org/officeDocument/2006/customXml" ds:itemID="{6BC0C85B-024C-49A1-89CA-1A1A3B0F41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8845</Words>
  <Characters>9168</Characters>
  <Lines>70</Lines>
  <Paragraphs>19</Paragraphs>
  <TotalTime>6</TotalTime>
  <ScaleCrop>false</ScaleCrop>
  <LinksUpToDate>false</LinksUpToDate>
  <CharactersWithSpaces>9212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2016-05-21T03:42:00Z</dcterms:created>
  <dc:creator>Meng Tang</dc:creator>
  <cp:lastModifiedBy>方笑丽</cp:lastModifiedBy>
  <cp:lastPrinted>2020-10-22T14:22:00Z</cp:lastPrinted>
  <dcterms:modified xsi:type="dcterms:W3CDTF">2026-05-21T05:15:43Z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eyJoZGlkIjoiYTlhZjhkNDhhM2Y4MzMxOWM2YmZiNTRiY2JmMDg3MTkiLCJ1c2VySWQiOiI0MjczOTgxMzkifQ==</vt:lpwstr>
  </property>
  <property fmtid="{D5CDD505-2E9C-101B-9397-08002B2CF9AE}" pid="4" name="ICV">
    <vt:lpwstr>97C09102A03148499E19E265FEF51E83_12</vt:lpwstr>
  </property>
</Properties>
</file>